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2"/>
        <w:rPr>
          <w:rFonts w:ascii="Times New Roman"/>
          <w:sz w:val="20"/>
        </w:rPr>
      </w:pPr>
    </w:p>
    <w:p>
      <w:pPr>
        <w:pStyle w:val="12"/>
        <w:rPr>
          <w:rFonts w:ascii="Times New Roman"/>
          <w:sz w:val="20"/>
        </w:rPr>
      </w:pPr>
    </w:p>
    <w:p>
      <w:pPr>
        <w:spacing w:before="2" w:line="322" w:lineRule="auto"/>
        <w:jc w:val="center"/>
        <w:rPr>
          <w:rFonts w:ascii="黑体" w:eastAsia="黑体"/>
          <w:b/>
          <w:sz w:val="52"/>
          <w:szCs w:val="20"/>
        </w:rPr>
      </w:pPr>
      <w:r>
        <w:rPr>
          <w:rFonts w:hint="eastAsia" w:ascii="黑体" w:eastAsia="黑体"/>
          <w:b/>
          <w:sz w:val="52"/>
          <w:szCs w:val="20"/>
        </w:rPr>
        <w:t>广州市杂技艺术</w:t>
      </w:r>
      <w:bookmarkStart w:id="133" w:name="_GoBack"/>
      <w:bookmarkEnd w:id="133"/>
      <w:r>
        <w:rPr>
          <w:rFonts w:hint="eastAsia" w:ascii="黑体" w:eastAsia="黑体"/>
          <w:b/>
          <w:sz w:val="52"/>
          <w:szCs w:val="20"/>
        </w:rPr>
        <w:t>剧院有限责任公司小剧场舞台机械改造</w:t>
      </w:r>
    </w:p>
    <w:p>
      <w:pPr>
        <w:pStyle w:val="12"/>
        <w:spacing w:before="11"/>
        <w:rPr>
          <w:rFonts w:ascii="黑体"/>
          <w:b/>
          <w:sz w:val="88"/>
        </w:rPr>
      </w:pPr>
    </w:p>
    <w:p>
      <w:pPr>
        <w:ind w:left="1043" w:right="1283"/>
        <w:jc w:val="center"/>
        <w:rPr>
          <w:rFonts w:ascii="黑体" w:eastAsia="黑体"/>
          <w:b/>
          <w:sz w:val="72"/>
          <w:szCs w:val="21"/>
        </w:rPr>
      </w:pPr>
      <w:r>
        <w:rPr>
          <w:rFonts w:hint="eastAsia" w:ascii="黑体" w:eastAsia="黑体"/>
          <w:b/>
          <w:sz w:val="72"/>
          <w:szCs w:val="21"/>
        </w:rPr>
        <w:t>招标文件</w:t>
      </w:r>
    </w:p>
    <w:p>
      <w:pPr>
        <w:pStyle w:val="2"/>
        <w:ind w:firstLine="400"/>
      </w:pPr>
    </w:p>
    <w:p>
      <w:pPr>
        <w:spacing w:before="149"/>
        <w:jc w:val="center"/>
        <w:rPr>
          <w:rFonts w:ascii="黑体" w:eastAsia="黑体"/>
          <w:sz w:val="44"/>
        </w:rPr>
      </w:pPr>
      <w:r>
        <w:rPr>
          <w:rFonts w:hint="eastAsia" w:ascii="黑体" w:eastAsia="黑体"/>
          <w:sz w:val="44"/>
        </w:rPr>
        <w:t>(项目编号：</w:t>
      </w:r>
      <w:r>
        <w:rPr>
          <w:rFonts w:ascii="黑体" w:eastAsia="黑体"/>
          <w:sz w:val="44"/>
          <w:lang w:val="en-US"/>
        </w:rPr>
        <w:t>ZDA2020-0623</w:t>
      </w:r>
      <w:r>
        <w:rPr>
          <w:rFonts w:hint="eastAsia" w:ascii="黑体" w:eastAsia="黑体"/>
          <w:sz w:val="44"/>
        </w:rPr>
        <w:t>)</w:t>
      </w:r>
    </w:p>
    <w:p>
      <w:pPr>
        <w:pStyle w:val="12"/>
        <w:rPr>
          <w:rFonts w:ascii="黑体"/>
          <w:sz w:val="44"/>
        </w:rPr>
      </w:pPr>
    </w:p>
    <w:p>
      <w:pPr>
        <w:pStyle w:val="12"/>
        <w:rPr>
          <w:rFonts w:ascii="黑体"/>
          <w:sz w:val="44"/>
        </w:rPr>
      </w:pPr>
    </w:p>
    <w:p>
      <w:pPr>
        <w:pStyle w:val="12"/>
        <w:rPr>
          <w:rFonts w:ascii="黑体"/>
          <w:sz w:val="44"/>
        </w:rPr>
      </w:pPr>
    </w:p>
    <w:p>
      <w:pPr>
        <w:pStyle w:val="12"/>
        <w:rPr>
          <w:rFonts w:ascii="黑体"/>
          <w:sz w:val="44"/>
        </w:rPr>
      </w:pPr>
    </w:p>
    <w:p>
      <w:pPr>
        <w:pStyle w:val="12"/>
        <w:rPr>
          <w:rFonts w:ascii="黑体"/>
          <w:sz w:val="44"/>
        </w:rPr>
      </w:pPr>
    </w:p>
    <w:p>
      <w:pPr>
        <w:spacing w:before="324" w:line="271" w:lineRule="auto"/>
        <w:ind w:right="2273"/>
        <w:rPr>
          <w:rFonts w:ascii="黑体" w:eastAsia="黑体"/>
          <w:sz w:val="36"/>
          <w:szCs w:val="36"/>
        </w:rPr>
      </w:pPr>
    </w:p>
    <w:p>
      <w:pPr>
        <w:pStyle w:val="2"/>
        <w:ind w:firstLine="400"/>
      </w:pPr>
    </w:p>
    <w:p>
      <w:pPr>
        <w:spacing w:line="360" w:lineRule="auto"/>
        <w:ind w:firstLine="1080" w:firstLineChars="300"/>
        <w:rPr>
          <w:rFonts w:ascii="黑体" w:eastAsia="黑体"/>
          <w:sz w:val="36"/>
          <w:szCs w:val="36"/>
        </w:rPr>
      </w:pPr>
      <w:r>
        <w:rPr>
          <w:rFonts w:hint="eastAsia" w:ascii="黑体" w:eastAsia="黑体"/>
          <w:sz w:val="36"/>
          <w:szCs w:val="36"/>
        </w:rPr>
        <w:t>采购人:</w:t>
      </w:r>
      <w:r>
        <w:rPr>
          <w:rFonts w:hint="eastAsia"/>
          <w:sz w:val="36"/>
          <w:szCs w:val="36"/>
        </w:rPr>
        <w:t xml:space="preserve"> </w:t>
      </w:r>
      <w:r>
        <w:rPr>
          <w:rFonts w:hint="eastAsia" w:ascii="黑体" w:eastAsia="黑体"/>
          <w:sz w:val="36"/>
          <w:szCs w:val="36"/>
        </w:rPr>
        <w:t>广州市杂技艺术剧院有限责任公司</w:t>
      </w:r>
    </w:p>
    <w:p>
      <w:pPr>
        <w:spacing w:line="360" w:lineRule="auto"/>
        <w:ind w:firstLine="1080" w:firstLineChars="300"/>
        <w:rPr>
          <w:rFonts w:ascii="黑体" w:eastAsia="黑体"/>
          <w:sz w:val="36"/>
          <w:szCs w:val="36"/>
        </w:rPr>
      </w:pPr>
      <w:r>
        <w:rPr>
          <w:rFonts w:hint="eastAsia" w:ascii="黑体" w:eastAsia="黑体"/>
          <w:sz w:val="36"/>
          <w:szCs w:val="36"/>
        </w:rPr>
        <w:t>采购代理机构：中达安股份有限公司</w:t>
      </w:r>
    </w:p>
    <w:p>
      <w:pPr>
        <w:spacing w:before="324" w:line="271" w:lineRule="auto"/>
        <w:ind w:left="2272" w:right="2273" w:hanging="240"/>
        <w:jc w:val="center"/>
        <w:rPr>
          <w:rFonts w:ascii="黑体" w:eastAsia="黑体"/>
          <w:sz w:val="48"/>
        </w:rPr>
      </w:pPr>
      <w:r>
        <w:rPr>
          <w:rFonts w:hint="eastAsia" w:ascii="黑体" w:eastAsia="黑体"/>
          <w:sz w:val="48"/>
        </w:rPr>
        <w:t>二〇二〇年</w:t>
      </w:r>
      <w:r>
        <w:rPr>
          <w:rFonts w:hint="eastAsia" w:ascii="黑体" w:eastAsia="黑体"/>
          <w:sz w:val="48"/>
          <w:lang w:val="en-US"/>
        </w:rPr>
        <w:t>六</w:t>
      </w:r>
      <w:r>
        <w:rPr>
          <w:rFonts w:hint="eastAsia" w:ascii="黑体" w:eastAsia="黑体"/>
          <w:sz w:val="48"/>
        </w:rPr>
        <w:t>月</w:t>
      </w: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12"/>
        <w:rPr>
          <w:rFonts w:ascii="黑体"/>
          <w:sz w:val="28"/>
        </w:rPr>
      </w:pPr>
    </w:p>
    <w:p>
      <w:pPr>
        <w:jc w:val="center"/>
        <w:rPr>
          <w:rFonts w:ascii="Calibri"/>
          <w:sz w:val="18"/>
        </w:rPr>
        <w:sectPr>
          <w:type w:val="continuous"/>
          <w:pgSz w:w="11910" w:h="16840"/>
          <w:pgMar w:top="1440" w:right="1440" w:bottom="1440" w:left="1440" w:header="720" w:footer="720" w:gutter="0"/>
          <w:cols w:space="720" w:num="1"/>
        </w:sectPr>
      </w:pPr>
    </w:p>
    <w:p>
      <w:pPr>
        <w:pStyle w:val="12"/>
        <w:rPr>
          <w:rFonts w:ascii="Calibri"/>
        </w:rPr>
      </w:pPr>
    </w:p>
    <w:p>
      <w:pPr>
        <w:jc w:val="center"/>
        <w:rPr>
          <w:b/>
          <w:bCs/>
          <w:sz w:val="32"/>
          <w:szCs w:val="32"/>
        </w:rPr>
      </w:pPr>
      <w:bookmarkStart w:id="0" w:name="温馨提示:_投标人投标特别注意事项"/>
      <w:bookmarkEnd w:id="0"/>
      <w:bookmarkStart w:id="1" w:name="_Toc25551"/>
      <w:r>
        <w:rPr>
          <w:b/>
          <w:bCs/>
          <w:sz w:val="32"/>
          <w:szCs w:val="32"/>
        </w:rPr>
        <w:t>投标人投标特别注意事项</w:t>
      </w:r>
      <w:bookmarkEnd w:id="1"/>
    </w:p>
    <w:p>
      <w:pPr>
        <w:jc w:val="center"/>
        <w:rPr>
          <w:rFonts w:ascii="Calibri" w:eastAsia="Calibri"/>
          <w:sz w:val="24"/>
          <w:szCs w:val="24"/>
        </w:rPr>
      </w:pPr>
    </w:p>
    <w:p>
      <w:pPr>
        <w:pStyle w:val="12"/>
        <w:spacing w:line="360" w:lineRule="auto"/>
        <w:ind w:firstLine="480" w:firstLineChars="200"/>
        <w:rPr>
          <w:rFonts w:ascii="Calibri" w:eastAsia="Calibri"/>
        </w:rPr>
      </w:pPr>
      <w:r>
        <w:rPr>
          <w:rFonts w:ascii="Calibri" w:eastAsia="Calibri"/>
          <w:b/>
          <w:bCs/>
        </w:rPr>
        <w:t>一、</w:t>
      </w:r>
      <w:r>
        <w:rPr>
          <w:rFonts w:ascii="Calibri" w:eastAsia="Calibri"/>
        </w:rPr>
        <w:t>请投标人特别留意招标文件上注明的投标截止和开标时间，逾期送达的投标文件本公司恕不接收。投标截止时间一到，本公司不再接收任何投标文件。因此，请投标人适当提前到达开标地点。</w:t>
      </w:r>
    </w:p>
    <w:p>
      <w:pPr>
        <w:spacing w:line="360" w:lineRule="auto"/>
        <w:ind w:firstLine="482" w:firstLineChars="200"/>
        <w:rPr>
          <w:sz w:val="24"/>
          <w:szCs w:val="24"/>
        </w:rPr>
      </w:pPr>
      <w:r>
        <w:rPr>
          <w:b/>
          <w:bCs/>
          <w:sz w:val="24"/>
          <w:szCs w:val="24"/>
        </w:rPr>
        <w:t>二、</w:t>
      </w:r>
      <w:r>
        <w:rPr>
          <w:sz w:val="24"/>
          <w:szCs w:val="24"/>
        </w:rPr>
        <w:t>购买招标文件或缴交中标服务费的账户：</w:t>
      </w:r>
    </w:p>
    <w:p>
      <w:pPr>
        <w:pStyle w:val="12"/>
        <w:spacing w:line="360" w:lineRule="auto"/>
        <w:ind w:firstLine="480" w:firstLineChars="200"/>
      </w:pPr>
      <w:r>
        <w:t>账号：</w:t>
      </w:r>
      <w:r>
        <w:rPr>
          <w:rFonts w:hint="eastAsia"/>
        </w:rPr>
        <w:t>82010154740009407</w:t>
      </w:r>
    </w:p>
    <w:p>
      <w:pPr>
        <w:pStyle w:val="12"/>
        <w:spacing w:line="360" w:lineRule="auto"/>
        <w:ind w:firstLine="480" w:firstLineChars="200"/>
      </w:pPr>
      <w:r>
        <w:t>开户银行：</w:t>
      </w:r>
      <w:r>
        <w:rPr>
          <w:rFonts w:hint="eastAsia"/>
        </w:rPr>
        <w:t>上海浦东发展银行股份有限公司广州分行</w:t>
      </w:r>
    </w:p>
    <w:p>
      <w:pPr>
        <w:pStyle w:val="12"/>
        <w:spacing w:line="360" w:lineRule="auto"/>
        <w:ind w:firstLine="480" w:firstLineChars="200"/>
      </w:pPr>
      <w:r>
        <w:t xml:space="preserve">收款人： </w:t>
      </w:r>
      <w:r>
        <w:rPr>
          <w:rFonts w:hint="eastAsia"/>
        </w:rPr>
        <w:t>中达安股份有限公司</w:t>
      </w:r>
    </w:p>
    <w:p>
      <w:pPr>
        <w:spacing w:line="360" w:lineRule="auto"/>
        <w:ind w:firstLine="482" w:firstLineChars="200"/>
        <w:rPr>
          <w:sz w:val="24"/>
          <w:szCs w:val="24"/>
        </w:rPr>
      </w:pPr>
      <w:r>
        <w:rPr>
          <w:b/>
          <w:bCs/>
          <w:sz w:val="24"/>
          <w:szCs w:val="24"/>
        </w:rPr>
        <w:t>三、</w:t>
      </w:r>
      <w:r>
        <w:rPr>
          <w:sz w:val="24"/>
          <w:szCs w:val="24"/>
        </w:rPr>
        <w:t>交纳投标保证金的账户：</w:t>
      </w:r>
    </w:p>
    <w:p>
      <w:pPr>
        <w:pStyle w:val="12"/>
        <w:spacing w:line="360" w:lineRule="auto"/>
        <w:ind w:firstLine="480" w:firstLineChars="200"/>
      </w:pPr>
      <w:r>
        <w:t>账号：</w:t>
      </w:r>
      <w:r>
        <w:rPr>
          <w:rFonts w:hint="eastAsia"/>
        </w:rPr>
        <w:t>82010154740009407</w:t>
      </w:r>
    </w:p>
    <w:p>
      <w:pPr>
        <w:pStyle w:val="12"/>
        <w:spacing w:line="360" w:lineRule="auto"/>
        <w:ind w:firstLine="480" w:firstLineChars="200"/>
      </w:pPr>
      <w:r>
        <w:t>开户银行：</w:t>
      </w:r>
      <w:r>
        <w:rPr>
          <w:rFonts w:hint="eastAsia"/>
        </w:rPr>
        <w:t>上海浦东发展银行股份有限公司广州分行</w:t>
      </w:r>
    </w:p>
    <w:p>
      <w:pPr>
        <w:pStyle w:val="12"/>
        <w:spacing w:line="360" w:lineRule="auto"/>
        <w:ind w:firstLine="480" w:firstLineChars="200"/>
      </w:pPr>
      <w:r>
        <w:t xml:space="preserve">收款人： </w:t>
      </w:r>
      <w:r>
        <w:rPr>
          <w:rFonts w:hint="eastAsia"/>
        </w:rPr>
        <w:t>中达安股份有限公司</w:t>
      </w:r>
    </w:p>
    <w:p>
      <w:pPr>
        <w:pStyle w:val="12"/>
        <w:spacing w:line="360" w:lineRule="auto"/>
        <w:ind w:firstLine="482" w:firstLineChars="200"/>
      </w:pPr>
      <w:r>
        <w:rPr>
          <w:b/>
        </w:rPr>
        <w:t>四、</w:t>
      </w:r>
      <w:r>
        <w:t>招标文件有“★”的地方为实质性的指标要求，必须一一响应。若有一项带“★”的指标要求未响应或不满足，将按投标无效处理。</w:t>
      </w:r>
    </w:p>
    <w:p>
      <w:pPr>
        <w:pStyle w:val="12"/>
        <w:spacing w:line="360" w:lineRule="auto"/>
        <w:ind w:firstLine="482" w:firstLineChars="200"/>
      </w:pPr>
      <w:r>
        <w:rPr>
          <w:b/>
        </w:rPr>
        <w:t>五、</w:t>
      </w:r>
      <w:r>
        <w:t>请正确填写《开标一览表》，含有包组的投标项目需分开报价，制作投标文件时可分开装订也可统一装订，但都必须密封。</w:t>
      </w:r>
    </w:p>
    <w:p>
      <w:pPr>
        <w:pStyle w:val="12"/>
        <w:spacing w:line="360" w:lineRule="auto"/>
        <w:ind w:firstLine="482" w:firstLineChars="200"/>
      </w:pPr>
      <w:r>
        <w:rPr>
          <w:b/>
        </w:rPr>
        <w:t>六、</w:t>
      </w:r>
      <w:r>
        <w:t>请仔细检查《投标函》、《开标一览表》等重要格式文件是否有按要求盖公章或签名。</w:t>
      </w:r>
    </w:p>
    <w:p>
      <w:pPr>
        <w:pStyle w:val="12"/>
        <w:spacing w:line="360" w:lineRule="auto"/>
        <w:ind w:firstLine="482" w:firstLineChars="200"/>
      </w:pPr>
      <w:r>
        <w:rPr>
          <w:b/>
        </w:rPr>
        <w:t>七、</w:t>
      </w:r>
      <w:r>
        <w:t>投标文件应按顺序编制页码。</w:t>
      </w:r>
    </w:p>
    <w:p>
      <w:pPr>
        <w:pStyle w:val="12"/>
        <w:spacing w:line="360" w:lineRule="auto"/>
        <w:ind w:firstLine="482" w:firstLineChars="200"/>
      </w:pPr>
      <w:r>
        <w:rPr>
          <w:b/>
        </w:rPr>
        <w:t>八、</w:t>
      </w:r>
      <w:r>
        <w:t>招标文件如允许分公司投标的，需提供具有法人资格的总公司有效的营业执照副本复印件及对被授权人的授权书。</w:t>
      </w:r>
    </w:p>
    <w:p>
      <w:pPr>
        <w:pStyle w:val="12"/>
        <w:spacing w:line="360" w:lineRule="auto"/>
        <w:ind w:firstLine="482" w:firstLineChars="200"/>
      </w:pPr>
      <w:r>
        <w:rPr>
          <w:b/>
        </w:rPr>
        <w:t>九、</w:t>
      </w:r>
      <w:r>
        <w:rPr>
          <w:spacing w:val="-4"/>
        </w:rPr>
        <w:t>我公司为采购代理机构，不对投标人购买招标文件时提交的相关资料的</w:t>
      </w:r>
      <w:r>
        <w:rPr>
          <w:spacing w:val="-5"/>
        </w:rPr>
        <w:t xml:space="preserve">真伪做出判断，如投标人发现相关资料被盗用或复制，建议遵循法律途径解决， </w:t>
      </w:r>
      <w:r>
        <w:rPr>
          <w:spacing w:val="-8"/>
        </w:rPr>
        <w:t>追究侵权者责任。对一家投标人递交两份投标文件的，评标委员会将按招标文件中有关无效投标的规定处理。</w:t>
      </w:r>
    </w:p>
    <w:p>
      <w:pPr>
        <w:pStyle w:val="12"/>
        <w:spacing w:before="2"/>
        <w:rPr>
          <w:sz w:val="34"/>
        </w:rPr>
      </w:pPr>
    </w:p>
    <w:p>
      <w:pPr>
        <w:ind w:right="208"/>
        <w:jc w:val="center"/>
        <w:rPr>
          <w:b/>
          <w:sz w:val="18"/>
        </w:rPr>
        <w:sectPr>
          <w:headerReference r:id="rId3" w:type="default"/>
          <w:footerReference r:id="rId4" w:type="default"/>
          <w:pgSz w:w="11910" w:h="16840"/>
          <w:pgMar w:top="1378" w:right="1378" w:bottom="1378" w:left="1378" w:header="924" w:footer="862" w:gutter="0"/>
          <w:pgNumType w:start="1"/>
          <w:cols w:space="720" w:num="1"/>
        </w:sectPr>
      </w:pPr>
      <w:r>
        <w:rPr>
          <w:b/>
          <w:sz w:val="18"/>
        </w:rPr>
        <w:t>（本提示非招标文件的组成部分，仅作善意提醒。若与招标文件有不同之处，以招标文件为准。）</w:t>
      </w:r>
    </w:p>
    <w:p>
      <w:pPr>
        <w:pStyle w:val="3"/>
        <w:spacing w:before="1"/>
        <w:ind w:left="0" w:right="0"/>
      </w:pPr>
      <w:bookmarkStart w:id="2" w:name="第一章_投标邀请函"/>
      <w:bookmarkEnd w:id="2"/>
      <w:bookmarkStart w:id="3" w:name="_Toc30342"/>
      <w:r>
        <w:t>第一章 投标邀请函</w:t>
      </w:r>
      <w:bookmarkEnd w:id="3"/>
    </w:p>
    <w:p>
      <w:pPr>
        <w:pStyle w:val="12"/>
        <w:spacing w:before="9"/>
        <w:rPr>
          <w:rFonts w:ascii="黑体"/>
          <w:sz w:val="32"/>
        </w:rPr>
      </w:pPr>
    </w:p>
    <w:p>
      <w:pPr>
        <w:pStyle w:val="12"/>
        <w:spacing w:line="360" w:lineRule="auto"/>
        <w:ind w:firstLine="460" w:firstLineChars="200"/>
        <w:jc w:val="both"/>
        <w:rPr>
          <w:spacing w:val="-5"/>
        </w:rPr>
      </w:pPr>
      <w:r>
        <w:rPr>
          <w:rFonts w:hint="eastAsia"/>
          <w:spacing w:val="-5"/>
          <w:u w:val="single"/>
        </w:rPr>
        <w:t>中达安股份有限公司</w:t>
      </w:r>
      <w:r>
        <w:rPr>
          <w:rFonts w:hint="eastAsia"/>
          <w:spacing w:val="-5"/>
        </w:rPr>
        <w:t>受</w:t>
      </w:r>
      <w:r>
        <w:rPr>
          <w:rFonts w:hint="eastAsia"/>
          <w:spacing w:val="-5"/>
          <w:u w:val="single"/>
        </w:rPr>
        <w:t>广州市杂技艺术剧院有限责任公司</w:t>
      </w:r>
      <w:r>
        <w:rPr>
          <w:rFonts w:hint="eastAsia"/>
          <w:spacing w:val="-5"/>
        </w:rPr>
        <w:t>的委托，就</w:t>
      </w:r>
      <w:r>
        <w:rPr>
          <w:rFonts w:hint="eastAsia"/>
          <w:spacing w:val="-5"/>
          <w:u w:val="single"/>
        </w:rPr>
        <w:t>广州市杂技艺术剧院有限责任公司小剧场舞台机械改造</w:t>
      </w:r>
      <w:r>
        <w:rPr>
          <w:rFonts w:hint="eastAsia"/>
          <w:spacing w:val="-5"/>
        </w:rPr>
        <w:t>进行公开招标采购，欢迎符合资格条件的供应商投标。</w:t>
      </w:r>
    </w:p>
    <w:p>
      <w:pPr>
        <w:pStyle w:val="12"/>
        <w:spacing w:line="360" w:lineRule="auto"/>
        <w:ind w:firstLine="460" w:firstLineChars="200"/>
        <w:jc w:val="both"/>
        <w:rPr>
          <w:spacing w:val="-5"/>
          <w:lang w:val="en-US"/>
        </w:rPr>
      </w:pPr>
      <w:r>
        <w:rPr>
          <w:rFonts w:hint="eastAsia"/>
          <w:spacing w:val="-5"/>
        </w:rPr>
        <w:t>一、采购项目编号：</w:t>
      </w:r>
      <w:r>
        <w:rPr>
          <w:spacing w:val="-5"/>
          <w:lang w:val="en-US"/>
        </w:rPr>
        <w:t>ZDA</w:t>
      </w:r>
      <w:r>
        <w:rPr>
          <w:rFonts w:hint="eastAsia"/>
          <w:spacing w:val="-5"/>
          <w:lang w:val="en-US"/>
        </w:rPr>
        <w:t>2020-0623</w:t>
      </w:r>
    </w:p>
    <w:p>
      <w:pPr>
        <w:pStyle w:val="12"/>
        <w:spacing w:line="360" w:lineRule="auto"/>
        <w:ind w:firstLine="460" w:firstLineChars="200"/>
        <w:jc w:val="both"/>
        <w:rPr>
          <w:spacing w:val="-5"/>
          <w:lang w:val="en-US"/>
        </w:rPr>
      </w:pPr>
      <w:r>
        <w:rPr>
          <w:rFonts w:hint="eastAsia"/>
          <w:spacing w:val="-5"/>
        </w:rPr>
        <w:t>二、采购项目名称：广州市杂技艺术剧院有限责任公司小剧场舞台机械改造</w:t>
      </w:r>
    </w:p>
    <w:p>
      <w:pPr>
        <w:pStyle w:val="12"/>
        <w:spacing w:line="360" w:lineRule="auto"/>
        <w:ind w:firstLine="460" w:firstLineChars="200"/>
        <w:jc w:val="both"/>
        <w:rPr>
          <w:spacing w:val="-5"/>
        </w:rPr>
      </w:pPr>
      <w:r>
        <w:rPr>
          <w:rFonts w:hint="eastAsia"/>
          <w:spacing w:val="-5"/>
        </w:rPr>
        <w:t>三、采购项目预算金额：人民币 2</w:t>
      </w:r>
      <w:r>
        <w:rPr>
          <w:spacing w:val="-5"/>
          <w:lang w:val="en-US"/>
        </w:rPr>
        <w:t>00</w:t>
      </w:r>
      <w:r>
        <w:rPr>
          <w:rFonts w:hint="eastAsia"/>
          <w:spacing w:val="-5"/>
        </w:rPr>
        <w:t xml:space="preserve"> 万元</w:t>
      </w:r>
    </w:p>
    <w:p>
      <w:pPr>
        <w:pStyle w:val="12"/>
        <w:spacing w:line="360" w:lineRule="auto"/>
        <w:ind w:firstLine="460" w:firstLineChars="200"/>
        <w:jc w:val="both"/>
        <w:rPr>
          <w:spacing w:val="-5"/>
        </w:rPr>
      </w:pPr>
      <w:r>
        <w:rPr>
          <w:rFonts w:hint="eastAsia"/>
          <w:spacing w:val="-5"/>
        </w:rPr>
        <w:t>四、采购数量：1 批</w:t>
      </w:r>
    </w:p>
    <w:p>
      <w:pPr>
        <w:pStyle w:val="12"/>
        <w:spacing w:line="360" w:lineRule="auto"/>
        <w:ind w:firstLine="460" w:firstLineChars="200"/>
        <w:jc w:val="both"/>
        <w:rPr>
          <w:spacing w:val="-5"/>
        </w:rPr>
      </w:pPr>
      <w:r>
        <w:rPr>
          <w:rFonts w:hint="eastAsia"/>
          <w:spacing w:val="-5"/>
        </w:rPr>
        <w:t>五、采购项目内容及需求：</w:t>
      </w:r>
    </w:p>
    <w:p>
      <w:pPr>
        <w:pStyle w:val="12"/>
        <w:spacing w:line="360" w:lineRule="auto"/>
        <w:ind w:firstLine="460" w:firstLineChars="200"/>
        <w:jc w:val="both"/>
        <w:rPr>
          <w:spacing w:val="-5"/>
        </w:rPr>
      </w:pPr>
      <w:r>
        <w:rPr>
          <w:rFonts w:hint="eastAsia"/>
          <w:spacing w:val="-5"/>
        </w:rPr>
        <w:t xml:space="preserve"> 1、项目内容：</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6"/>
        <w:gridCol w:w="1838"/>
        <w:gridCol w:w="2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06" w:type="dxa"/>
            <w:shd w:val="clear" w:color="auto" w:fill="D6D6D6"/>
            <w:vAlign w:val="center"/>
          </w:tcPr>
          <w:p>
            <w:pPr>
              <w:pStyle w:val="23"/>
              <w:spacing w:before="118"/>
              <w:ind w:left="852"/>
              <w:jc w:val="both"/>
              <w:rPr>
                <w:b/>
                <w:sz w:val="24"/>
              </w:rPr>
            </w:pPr>
            <w:r>
              <w:rPr>
                <w:b/>
                <w:sz w:val="24"/>
              </w:rPr>
              <w:t>采购内容</w:t>
            </w:r>
          </w:p>
        </w:tc>
        <w:tc>
          <w:tcPr>
            <w:tcW w:w="1838" w:type="dxa"/>
            <w:shd w:val="clear" w:color="auto" w:fill="D6D6D6"/>
            <w:vAlign w:val="center"/>
          </w:tcPr>
          <w:p>
            <w:pPr>
              <w:pStyle w:val="23"/>
              <w:spacing w:before="118"/>
              <w:ind w:left="59" w:right="47"/>
              <w:jc w:val="both"/>
              <w:rPr>
                <w:b/>
                <w:sz w:val="24"/>
              </w:rPr>
            </w:pPr>
            <w:r>
              <w:rPr>
                <w:b/>
                <w:sz w:val="24"/>
              </w:rPr>
              <w:t>最高限价</w:t>
            </w:r>
          </w:p>
        </w:tc>
        <w:tc>
          <w:tcPr>
            <w:tcW w:w="2592" w:type="dxa"/>
            <w:shd w:val="clear" w:color="auto" w:fill="D6D6D6"/>
            <w:vAlign w:val="center"/>
          </w:tcPr>
          <w:p>
            <w:pPr>
              <w:pStyle w:val="23"/>
              <w:spacing w:before="118"/>
              <w:ind w:left="916" w:right="903"/>
              <w:jc w:val="both"/>
              <w:rPr>
                <w:b/>
                <w:sz w:val="24"/>
              </w:rPr>
            </w:pPr>
            <w:r>
              <w:rPr>
                <w:b/>
                <w:sz w:val="24"/>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3306" w:type="dxa"/>
            <w:vAlign w:val="center"/>
          </w:tcPr>
          <w:p>
            <w:pPr>
              <w:pStyle w:val="23"/>
              <w:spacing w:before="59" w:line="440" w:lineRule="atLeast"/>
              <w:ind w:left="252" w:right="122" w:hanging="120"/>
              <w:rPr>
                <w:sz w:val="24"/>
              </w:rPr>
            </w:pPr>
            <w:r>
              <w:rPr>
                <w:rFonts w:hint="eastAsia"/>
                <w:sz w:val="24"/>
              </w:rPr>
              <w:t>广州市杂技艺术剧院有限责任公司小剧场舞台机械改造</w:t>
            </w:r>
          </w:p>
        </w:tc>
        <w:tc>
          <w:tcPr>
            <w:tcW w:w="1838" w:type="dxa"/>
            <w:vAlign w:val="center"/>
          </w:tcPr>
          <w:p>
            <w:pPr>
              <w:pStyle w:val="23"/>
              <w:ind w:right="49"/>
              <w:rPr>
                <w:sz w:val="24"/>
              </w:rPr>
            </w:pPr>
            <w:r>
              <w:rPr>
                <w:sz w:val="24"/>
              </w:rPr>
              <w:t>人民币2</w:t>
            </w:r>
            <w:r>
              <w:rPr>
                <w:sz w:val="24"/>
                <w:lang w:val="en-US"/>
              </w:rPr>
              <w:t>00</w:t>
            </w:r>
            <w:r>
              <w:rPr>
                <w:sz w:val="24"/>
              </w:rPr>
              <w:t xml:space="preserve"> 万元</w:t>
            </w:r>
          </w:p>
        </w:tc>
        <w:tc>
          <w:tcPr>
            <w:tcW w:w="2592" w:type="dxa"/>
            <w:vAlign w:val="center"/>
          </w:tcPr>
          <w:p>
            <w:pPr>
              <w:pStyle w:val="23"/>
              <w:spacing w:before="59" w:line="440" w:lineRule="atLeast"/>
              <w:ind w:left="216" w:right="143" w:hanging="60"/>
              <w:jc w:val="both"/>
              <w:rPr>
                <w:sz w:val="24"/>
              </w:rPr>
            </w:pPr>
            <w:r>
              <w:rPr>
                <w:spacing w:val="-9"/>
                <w:sz w:val="24"/>
              </w:rPr>
              <w:t xml:space="preserve">自合同签订后 </w:t>
            </w:r>
            <w:r>
              <w:rPr>
                <w:sz w:val="24"/>
                <w:u w:val="single"/>
              </w:rPr>
              <w:t>50</w:t>
            </w:r>
            <w:r>
              <w:rPr>
                <w:spacing w:val="-26"/>
                <w:sz w:val="24"/>
              </w:rPr>
              <w:t xml:space="preserve"> 日内</w:t>
            </w:r>
            <w:r>
              <w:rPr>
                <w:sz w:val="24"/>
              </w:rPr>
              <w:t>完成所有货物的供货</w:t>
            </w:r>
          </w:p>
        </w:tc>
      </w:tr>
    </w:tbl>
    <w:p>
      <w:pPr>
        <w:pStyle w:val="12"/>
        <w:spacing w:line="360" w:lineRule="auto"/>
        <w:ind w:firstLine="480" w:firstLineChars="200"/>
      </w:pPr>
    </w:p>
    <w:p>
      <w:pPr>
        <w:pStyle w:val="12"/>
        <w:spacing w:line="360" w:lineRule="auto"/>
        <w:ind w:firstLine="480" w:firstLineChars="200"/>
      </w:pPr>
      <w:r>
        <w:t>2、采购项目技术规格、参数及要求：详见本招标文件第三章《用户需求书》。</w:t>
      </w:r>
    </w:p>
    <w:p>
      <w:pPr>
        <w:pStyle w:val="12"/>
        <w:spacing w:line="360" w:lineRule="auto"/>
        <w:ind w:firstLine="480" w:firstLineChars="200"/>
      </w:pPr>
      <w:r>
        <w:t>3、本项目只允许采购本国产品（本国产品是指不需要通过中国海关报关验放已在中国境内且产自关境内的产品）。</w:t>
      </w:r>
    </w:p>
    <w:p>
      <w:pPr>
        <w:pStyle w:val="12"/>
        <w:spacing w:line="360" w:lineRule="auto"/>
        <w:ind w:firstLine="480" w:firstLineChars="200"/>
      </w:pPr>
      <w:r>
        <w:t>4、本项目为一个整体，投标人须对全部内容进行投标，不得分拆。</w:t>
      </w:r>
    </w:p>
    <w:p>
      <w:pPr>
        <w:pStyle w:val="12"/>
        <w:spacing w:line="360" w:lineRule="auto"/>
        <w:ind w:firstLine="462" w:firstLineChars="200"/>
        <w:jc w:val="both"/>
        <w:rPr>
          <w:b/>
          <w:bCs/>
          <w:spacing w:val="-5"/>
        </w:rPr>
      </w:pPr>
      <w:r>
        <w:rPr>
          <w:b/>
          <w:bCs/>
          <w:spacing w:val="-5"/>
        </w:rPr>
        <w:t>六、供应商资格：</w:t>
      </w:r>
    </w:p>
    <w:p>
      <w:pPr>
        <w:spacing w:line="360" w:lineRule="auto"/>
        <w:ind w:firstLine="460" w:firstLineChars="200"/>
        <w:rPr>
          <w:spacing w:val="-5"/>
          <w:sz w:val="24"/>
          <w:szCs w:val="24"/>
        </w:rPr>
      </w:pPr>
      <w:r>
        <w:rPr>
          <w:rFonts w:hint="eastAsia"/>
          <w:spacing w:val="-5"/>
          <w:sz w:val="24"/>
          <w:szCs w:val="24"/>
          <w:lang w:val="en-US"/>
        </w:rPr>
        <w:t>1、</w:t>
      </w:r>
      <w:r>
        <w:rPr>
          <w:rFonts w:hint="eastAsia"/>
          <w:spacing w:val="-5"/>
          <w:sz w:val="24"/>
          <w:szCs w:val="24"/>
        </w:rPr>
        <w:t>应具备《中华人民共和国政府采购法》第二十二条规定的条件，提供以下资料：</w:t>
      </w:r>
    </w:p>
    <w:p>
      <w:pPr>
        <w:spacing w:line="360" w:lineRule="auto"/>
        <w:ind w:firstLine="690" w:firstLineChars="300"/>
        <w:rPr>
          <w:spacing w:val="-5"/>
          <w:sz w:val="24"/>
          <w:szCs w:val="24"/>
        </w:rPr>
      </w:pPr>
      <w:r>
        <w:rPr>
          <w:spacing w:val="-5"/>
          <w:sz w:val="24"/>
          <w:szCs w:val="24"/>
        </w:rPr>
        <w:t>1）提供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w:t>
      </w:r>
    </w:p>
    <w:p>
      <w:pPr>
        <w:spacing w:line="360" w:lineRule="auto"/>
        <w:ind w:firstLine="690" w:firstLineChars="300"/>
        <w:rPr>
          <w:spacing w:val="-5"/>
          <w:sz w:val="24"/>
          <w:szCs w:val="24"/>
        </w:rPr>
      </w:pPr>
      <w:r>
        <w:rPr>
          <w:spacing w:val="-5"/>
          <w:sz w:val="24"/>
          <w:szCs w:val="24"/>
        </w:rPr>
        <w:t>2）提供 2018 年或 2019 年财务状况报告复印件或银行出具的资信证明材料复印件</w:t>
      </w:r>
      <w:r>
        <w:rPr>
          <w:rFonts w:hint="eastAsia"/>
          <w:spacing w:val="-5"/>
          <w:sz w:val="24"/>
          <w:szCs w:val="24"/>
        </w:rPr>
        <w:t>，</w:t>
      </w:r>
      <w:r>
        <w:rPr>
          <w:spacing w:val="-5"/>
          <w:sz w:val="24"/>
          <w:szCs w:val="24"/>
        </w:rPr>
        <w:t>(新成立公司提供成立至今的月或季度财务报表复印件)或银行出具的资信证明</w:t>
      </w:r>
      <w:r>
        <w:rPr>
          <w:rFonts w:hint="eastAsia"/>
          <w:spacing w:val="-5"/>
          <w:sz w:val="24"/>
          <w:szCs w:val="24"/>
        </w:rPr>
        <w:t>；</w:t>
      </w:r>
    </w:p>
    <w:p>
      <w:pPr>
        <w:spacing w:line="360" w:lineRule="auto"/>
        <w:ind w:firstLine="690" w:firstLineChars="300"/>
        <w:rPr>
          <w:spacing w:val="-5"/>
          <w:sz w:val="24"/>
          <w:szCs w:val="24"/>
        </w:rPr>
      </w:pPr>
      <w:r>
        <w:rPr>
          <w:spacing w:val="-5"/>
          <w:sz w:val="24"/>
          <w:szCs w:val="24"/>
        </w:rPr>
        <w:t>3）具有履行合同所必需的设备和专业技术能力，提供资格声明函；</w:t>
      </w:r>
    </w:p>
    <w:p>
      <w:pPr>
        <w:spacing w:line="360" w:lineRule="auto"/>
        <w:ind w:firstLine="690" w:firstLineChars="300"/>
        <w:rPr>
          <w:spacing w:val="-5"/>
          <w:sz w:val="24"/>
          <w:szCs w:val="24"/>
        </w:rPr>
      </w:pPr>
      <w:r>
        <w:rPr>
          <w:spacing w:val="-5"/>
          <w:sz w:val="24"/>
          <w:szCs w:val="24"/>
        </w:rPr>
        <w:t>4）提供 2020年任意一个月的依法缴纳税收的证明（如纳税凭证）复印件，如依法免税的，应提供相应文件证明其依法免税；</w:t>
      </w:r>
    </w:p>
    <w:p>
      <w:pPr>
        <w:spacing w:line="360" w:lineRule="auto"/>
        <w:ind w:firstLine="690" w:firstLineChars="300"/>
        <w:rPr>
          <w:spacing w:val="-5"/>
          <w:sz w:val="24"/>
          <w:szCs w:val="24"/>
        </w:rPr>
      </w:pPr>
      <w:r>
        <w:rPr>
          <w:spacing w:val="-5"/>
          <w:sz w:val="24"/>
          <w:szCs w:val="24"/>
        </w:rPr>
        <w:t>5）提供 2020年任意一个月的依法缴纳社会保险的证明（如缴费凭证）复印件，如依法不需要缴纳社会保障资金的，应提供相应文件证明其依法不需要缴纳社会保障资金；</w:t>
      </w:r>
    </w:p>
    <w:p>
      <w:pPr>
        <w:spacing w:line="360" w:lineRule="auto"/>
        <w:ind w:firstLine="690" w:firstLineChars="300"/>
        <w:rPr>
          <w:spacing w:val="-5"/>
          <w:sz w:val="24"/>
          <w:szCs w:val="24"/>
        </w:rPr>
      </w:pPr>
      <w:r>
        <w:rPr>
          <w:spacing w:val="-5"/>
          <w:sz w:val="24"/>
          <w:szCs w:val="24"/>
        </w:rPr>
        <w:t>6）参加政府采购活动前三年内，在经营活动中没有重大违法记录，提供资格声明函；</w:t>
      </w:r>
    </w:p>
    <w:p>
      <w:pPr>
        <w:spacing w:line="360" w:lineRule="auto"/>
        <w:ind w:firstLine="460" w:firstLineChars="200"/>
        <w:rPr>
          <w:spacing w:val="-5"/>
          <w:sz w:val="24"/>
          <w:szCs w:val="24"/>
        </w:rPr>
      </w:pPr>
      <w:r>
        <w:rPr>
          <w:rFonts w:hint="eastAsia"/>
          <w:spacing w:val="-5"/>
          <w:sz w:val="24"/>
          <w:szCs w:val="24"/>
          <w:lang w:val="en-US"/>
        </w:rPr>
        <w:t>2、</w:t>
      </w:r>
      <w:r>
        <w:rPr>
          <w:rFonts w:hint="eastAsia"/>
          <w:spacing w:val="-5"/>
          <w:sz w:val="24"/>
          <w:szCs w:val="24"/>
        </w:rPr>
        <w:t>未列入失信被执行人、重大税收违法案件当事人名单、政府采购严重违法失信行为记录名单的供应商（以开标当日资格审查人员在“信用中国”网站（</w:t>
      </w:r>
      <w:r>
        <w:fldChar w:fldCharType="begin"/>
      </w:r>
      <w:r>
        <w:instrText xml:space="preserve"> HYPERLINK "qq://txfile/" \h </w:instrText>
      </w:r>
      <w:r>
        <w:fldChar w:fldCharType="separate"/>
      </w:r>
      <w:r>
        <w:rPr>
          <w:rFonts w:hint="eastAsia"/>
          <w:spacing w:val="-5"/>
          <w:sz w:val="24"/>
          <w:szCs w:val="24"/>
        </w:rPr>
        <w:t>www.creditchina.gov.cn</w:t>
      </w:r>
      <w:r>
        <w:rPr>
          <w:rFonts w:hint="eastAsia"/>
          <w:spacing w:val="-5"/>
          <w:sz w:val="24"/>
          <w:szCs w:val="24"/>
        </w:rPr>
        <w:fldChar w:fldCharType="end"/>
      </w:r>
      <w:r>
        <w:rPr>
          <w:rFonts w:hint="eastAsia"/>
          <w:spacing w:val="-5"/>
          <w:sz w:val="24"/>
          <w:szCs w:val="24"/>
        </w:rPr>
        <w:t>）、中国政府采购网（</w:t>
      </w:r>
      <w:r>
        <w:fldChar w:fldCharType="begin"/>
      </w:r>
      <w:r>
        <w:instrText xml:space="preserve"> HYPERLINK "qq://txfile/" \h </w:instrText>
      </w:r>
      <w:r>
        <w:fldChar w:fldCharType="separate"/>
      </w:r>
      <w:r>
        <w:rPr>
          <w:rFonts w:hint="eastAsia"/>
          <w:spacing w:val="-5"/>
          <w:sz w:val="24"/>
          <w:szCs w:val="24"/>
        </w:rPr>
        <w:t>www.ccgp.gov.cn</w:t>
      </w:r>
      <w:r>
        <w:rPr>
          <w:rFonts w:hint="eastAsia"/>
          <w:spacing w:val="-5"/>
          <w:sz w:val="24"/>
          <w:szCs w:val="24"/>
        </w:rPr>
        <w:fldChar w:fldCharType="end"/>
      </w:r>
      <w:r>
        <w:rPr>
          <w:rFonts w:hint="eastAsia"/>
          <w:spacing w:val="-5"/>
          <w:sz w:val="24"/>
          <w:szCs w:val="24"/>
        </w:rPr>
        <w:t>）的查询结果为准；处罚期限届满的除外。如“信用中国”网站查询结果显示“没有找到您搜索的企业”或“没有找到您搜索数据”，视为没有上述三类不良信用记录）。</w:t>
      </w:r>
    </w:p>
    <w:p>
      <w:pPr>
        <w:spacing w:line="360" w:lineRule="auto"/>
        <w:ind w:firstLine="460" w:firstLineChars="200"/>
        <w:rPr>
          <w:spacing w:val="-5"/>
          <w:sz w:val="24"/>
          <w:szCs w:val="24"/>
        </w:rPr>
      </w:pPr>
      <w:r>
        <w:rPr>
          <w:rFonts w:hint="eastAsia"/>
          <w:spacing w:val="-5"/>
          <w:sz w:val="24"/>
          <w:szCs w:val="24"/>
          <w:lang w:val="en-US"/>
        </w:rPr>
        <w:t>3、</w:t>
      </w:r>
      <w:r>
        <w:rPr>
          <w:rFonts w:hint="eastAsia"/>
          <w:spacing w:val="-5"/>
          <w:sz w:val="24"/>
          <w:szCs w:val="24"/>
        </w:rPr>
        <w:t>投标人须提供《公平竞争承诺书》原件。</w:t>
      </w:r>
    </w:p>
    <w:p>
      <w:pPr>
        <w:spacing w:line="360" w:lineRule="auto"/>
        <w:ind w:firstLine="460" w:firstLineChars="200"/>
        <w:rPr>
          <w:spacing w:val="-5"/>
          <w:sz w:val="24"/>
          <w:szCs w:val="24"/>
        </w:rPr>
      </w:pPr>
      <w:r>
        <w:rPr>
          <w:rFonts w:hint="eastAsia"/>
          <w:spacing w:val="-5"/>
          <w:sz w:val="24"/>
          <w:szCs w:val="24"/>
          <w:lang w:val="en-US"/>
        </w:rPr>
        <w:t>4、</w:t>
      </w:r>
      <w:r>
        <w:rPr>
          <w:rFonts w:hint="eastAsia"/>
          <w:spacing w:val="-5"/>
          <w:sz w:val="24"/>
          <w:szCs w:val="24"/>
        </w:rPr>
        <w:t>不得参与同一采购项目竞争的供应商（提供资格声明函）：</w:t>
      </w:r>
    </w:p>
    <w:p>
      <w:pPr>
        <w:spacing w:line="360" w:lineRule="auto"/>
        <w:ind w:firstLine="690" w:firstLineChars="300"/>
        <w:rPr>
          <w:spacing w:val="-5"/>
          <w:sz w:val="24"/>
          <w:szCs w:val="24"/>
        </w:rPr>
      </w:pPr>
      <w:r>
        <w:rPr>
          <w:rFonts w:hint="eastAsia"/>
          <w:spacing w:val="-5"/>
          <w:sz w:val="24"/>
          <w:szCs w:val="24"/>
        </w:rPr>
        <w:t>1）单位负责人为同一人或者存在直接控股、管理关系的不同供应商，不得参加同一包组投标或者未划分包组的同一招标项目的政府采购活动。如同时参加，则评审时均作无效投标处理。</w:t>
      </w:r>
    </w:p>
    <w:p>
      <w:pPr>
        <w:spacing w:line="360" w:lineRule="auto"/>
        <w:ind w:firstLine="690" w:firstLineChars="300"/>
        <w:rPr>
          <w:spacing w:val="-5"/>
          <w:sz w:val="24"/>
          <w:szCs w:val="24"/>
        </w:rPr>
      </w:pPr>
      <w:r>
        <w:rPr>
          <w:rFonts w:hint="eastAsia"/>
          <w:spacing w:val="-5"/>
          <w:sz w:val="24"/>
          <w:szCs w:val="24"/>
        </w:rPr>
        <w:t>2）为采购项目提供整体设计、规范编制或者项目管理、监理、检测等服务的供应商，不得再参加该采购项目的其他采购活动。</w:t>
      </w:r>
    </w:p>
    <w:p>
      <w:pPr>
        <w:pStyle w:val="2"/>
        <w:spacing w:line="360" w:lineRule="auto"/>
        <w:ind w:firstLine="470"/>
      </w:pPr>
      <w:r>
        <w:rPr>
          <w:spacing w:val="-5"/>
          <w:sz w:val="24"/>
          <w:szCs w:val="24"/>
        </w:rPr>
        <w:t>5、投标人具有建筑机电安装工程专业承包三级或以上资质，或机电工程施工总承包三级或以上资质；</w:t>
      </w:r>
    </w:p>
    <w:p>
      <w:pPr>
        <w:spacing w:line="360" w:lineRule="auto"/>
        <w:ind w:firstLine="460" w:firstLineChars="200"/>
        <w:rPr>
          <w:szCs w:val="21"/>
        </w:rPr>
      </w:pPr>
      <w:r>
        <w:rPr>
          <w:rFonts w:hint="eastAsia"/>
          <w:spacing w:val="-5"/>
          <w:sz w:val="24"/>
          <w:szCs w:val="24"/>
          <w:lang w:val="en-US"/>
        </w:rPr>
        <w:t>6、</w:t>
      </w:r>
      <w:r>
        <w:rPr>
          <w:rFonts w:hint="eastAsia"/>
          <w:spacing w:val="-5"/>
          <w:sz w:val="24"/>
          <w:szCs w:val="24"/>
        </w:rPr>
        <w:t>本项目</w:t>
      </w:r>
      <w:r>
        <w:rPr>
          <w:rFonts w:hint="eastAsia"/>
          <w:spacing w:val="-5"/>
          <w:sz w:val="24"/>
          <w:szCs w:val="24"/>
          <w:lang w:val="en-US"/>
        </w:rPr>
        <w:t>不</w:t>
      </w:r>
      <w:r>
        <w:rPr>
          <w:rFonts w:hint="eastAsia"/>
          <w:spacing w:val="-5"/>
          <w:sz w:val="24"/>
          <w:szCs w:val="24"/>
        </w:rPr>
        <w:t>接受联合体投标</w:t>
      </w:r>
      <w:r>
        <w:rPr>
          <w:rFonts w:hint="eastAsia"/>
          <w:szCs w:val="21"/>
        </w:rPr>
        <w:t>。</w:t>
      </w:r>
    </w:p>
    <w:p>
      <w:pPr>
        <w:spacing w:line="360" w:lineRule="auto"/>
        <w:ind w:firstLine="460" w:firstLineChars="200"/>
        <w:rPr>
          <w:spacing w:val="-5"/>
          <w:sz w:val="24"/>
          <w:szCs w:val="24"/>
        </w:rPr>
      </w:pPr>
      <w:r>
        <w:rPr>
          <w:rFonts w:hint="eastAsia"/>
          <w:spacing w:val="-5"/>
          <w:sz w:val="24"/>
          <w:szCs w:val="24"/>
          <w:lang w:val="en-US"/>
        </w:rPr>
        <w:t>7、</w:t>
      </w:r>
      <w:r>
        <w:rPr>
          <w:rFonts w:hint="eastAsia"/>
          <w:spacing w:val="-5"/>
          <w:sz w:val="24"/>
          <w:szCs w:val="24"/>
        </w:rPr>
        <w:t>本项目只接受报名并获取了招标文件的单位提交的投标文件。</w:t>
      </w:r>
    </w:p>
    <w:p>
      <w:pPr>
        <w:pStyle w:val="12"/>
        <w:spacing w:before="158" w:line="360" w:lineRule="auto"/>
        <w:ind w:firstLine="460" w:firstLineChars="200"/>
        <w:jc w:val="both"/>
      </w:pPr>
      <w:r>
        <w:rPr>
          <w:spacing w:val="-5"/>
        </w:rPr>
        <w:t>七、符</w:t>
      </w:r>
      <w:r>
        <w:t>合资格的供应商应当在</w:t>
      </w:r>
      <w:r>
        <w:rPr>
          <w:u w:val="single"/>
        </w:rPr>
        <w:t xml:space="preserve"> 2020 </w:t>
      </w:r>
      <w:r>
        <w:t>年</w:t>
      </w:r>
      <w:r>
        <w:rPr>
          <w:rFonts w:hint="eastAsia"/>
          <w:u w:val="single"/>
        </w:rPr>
        <w:t xml:space="preserve"> </w:t>
      </w:r>
      <w:r>
        <w:rPr>
          <w:u w:val="single"/>
        </w:rPr>
        <w:t xml:space="preserve">7 </w:t>
      </w:r>
      <w:r>
        <w:t>月</w:t>
      </w:r>
      <w:r>
        <w:rPr>
          <w:u w:val="single"/>
        </w:rPr>
        <w:t xml:space="preserve"> 1 </w:t>
      </w:r>
      <w:r>
        <w:t>日至</w:t>
      </w:r>
      <w:r>
        <w:rPr>
          <w:u w:val="single"/>
        </w:rPr>
        <w:t xml:space="preserve"> 2020 </w:t>
      </w:r>
      <w:r>
        <w:t>年</w:t>
      </w:r>
      <w:r>
        <w:rPr>
          <w:rFonts w:hint="eastAsia"/>
          <w:u w:val="single"/>
        </w:rPr>
        <w:t xml:space="preserve"> </w:t>
      </w:r>
      <w:r>
        <w:rPr>
          <w:u w:val="single"/>
        </w:rPr>
        <w:t xml:space="preserve">7 </w:t>
      </w:r>
      <w:r>
        <w:t>月</w:t>
      </w:r>
      <w:r>
        <w:rPr>
          <w:u w:val="single"/>
        </w:rPr>
        <w:t xml:space="preserve"> 7 </w:t>
      </w:r>
      <w:r>
        <w:t>日期间（上午</w:t>
      </w:r>
      <w:r>
        <w:rPr>
          <w:u w:val="single"/>
        </w:rPr>
        <w:t xml:space="preserve"> 09:00</w:t>
      </w:r>
      <w:r>
        <w:t xml:space="preserve"> 至</w:t>
      </w:r>
      <w:r>
        <w:rPr>
          <w:u w:val="single"/>
        </w:rPr>
        <w:t xml:space="preserve"> 12:00</w:t>
      </w:r>
      <w:r>
        <w:t>,下午</w:t>
      </w:r>
      <w:r>
        <w:rPr>
          <w:u w:val="single"/>
        </w:rPr>
        <w:t xml:space="preserve"> 14:30 </w:t>
      </w:r>
      <w:r>
        <w:t xml:space="preserve">至 </w:t>
      </w:r>
      <w:r>
        <w:rPr>
          <w:u w:val="single"/>
        </w:rPr>
        <w:t>17:30</w:t>
      </w:r>
      <w:r>
        <w:t>，法定节假日除外）到</w:t>
      </w:r>
      <w:r>
        <w:rPr>
          <w:rFonts w:hint="eastAsia"/>
        </w:rPr>
        <w:t>中达安股份有限公司</w:t>
      </w:r>
      <w:r>
        <w:t>（详细地址：广州市</w:t>
      </w:r>
      <w:r>
        <w:rPr>
          <w:rFonts w:hint="eastAsia"/>
          <w:lang w:val="en-US"/>
        </w:rPr>
        <w:t>天河区燕岭路123号建设大厦</w:t>
      </w:r>
      <w:r>
        <w:rPr>
          <w:lang w:val="en-US"/>
        </w:rPr>
        <w:t>G</w:t>
      </w:r>
      <w:r>
        <w:rPr>
          <w:rFonts w:hint="eastAsia"/>
          <w:lang w:val="en-US"/>
        </w:rPr>
        <w:t>栋4楼</w:t>
      </w:r>
      <w:r>
        <w:t>）</w:t>
      </w:r>
      <w:r>
        <w:rPr>
          <w:rFonts w:hint="eastAsia"/>
        </w:rPr>
        <w:t>现场</w:t>
      </w:r>
      <w:r>
        <w:t xml:space="preserve">购买招标文件，招标文件每套售价 </w:t>
      </w:r>
      <w:r>
        <w:rPr>
          <w:rFonts w:hint="eastAsia"/>
          <w:lang w:val="en-US"/>
        </w:rPr>
        <w:t>5</w:t>
      </w:r>
      <w:r>
        <w:t>00 元（人民币），售后不退。</w:t>
      </w:r>
    </w:p>
    <w:p>
      <w:pPr>
        <w:pStyle w:val="12"/>
        <w:spacing w:before="5" w:line="362" w:lineRule="auto"/>
        <w:ind w:right="5645" w:firstLine="480" w:firstLineChars="200"/>
      </w:pPr>
      <w:r>
        <w:t>备注：</w:t>
      </w:r>
    </w:p>
    <w:p>
      <w:pPr>
        <w:pStyle w:val="12"/>
        <w:spacing w:before="5" w:line="360" w:lineRule="auto"/>
        <w:ind w:firstLine="480" w:firstLineChars="200"/>
      </w:pPr>
      <w:r>
        <w:t>1、</w:t>
      </w:r>
      <w:r>
        <w:rPr>
          <w:rFonts w:hint="eastAsia"/>
          <w:lang w:val="en-US"/>
        </w:rPr>
        <w:t>符合资格条件的</w:t>
      </w:r>
      <w:r>
        <w:t>投标人</w:t>
      </w:r>
      <w:r>
        <w:rPr>
          <w:rFonts w:hint="eastAsia"/>
        </w:rPr>
        <w:t>携带报名资料</w:t>
      </w:r>
      <w:r>
        <w:t>加盖公司公章至采购代理机构处报名，并</w:t>
      </w:r>
      <w:r>
        <w:rPr>
          <w:rFonts w:hint="eastAsia"/>
        </w:rPr>
        <w:t>现场</w:t>
      </w:r>
      <w:r>
        <w:t>购买招标文件：</w:t>
      </w:r>
    </w:p>
    <w:p>
      <w:pPr>
        <w:spacing w:line="360" w:lineRule="auto"/>
        <w:ind w:firstLine="720" w:firstLineChars="300"/>
        <w:rPr>
          <w:sz w:val="24"/>
        </w:rPr>
      </w:pPr>
      <w:r>
        <w:rPr>
          <w:rFonts w:hint="eastAsia"/>
          <w:sz w:val="24"/>
        </w:rPr>
        <w:t>1</w:t>
      </w:r>
      <w:r>
        <w:rPr>
          <w:sz w:val="24"/>
        </w:rPr>
        <w:t>) 购买招标文件经办人若为授权代表，则须提供法定代表人授权书原件</w:t>
      </w:r>
      <w:r>
        <w:rPr>
          <w:spacing w:val="-8"/>
          <w:sz w:val="24"/>
        </w:rPr>
        <w:t>和授权代表身份证复印件；若为法定代表人，则须提供法定代表人证明书和法定</w:t>
      </w:r>
      <w:r>
        <w:rPr>
          <w:sz w:val="24"/>
        </w:rPr>
        <w:t>代表人身份证复印件。</w:t>
      </w:r>
    </w:p>
    <w:p>
      <w:pPr>
        <w:pStyle w:val="12"/>
        <w:spacing w:before="158" w:line="360" w:lineRule="auto"/>
        <w:ind w:firstLine="480" w:firstLineChars="200"/>
        <w:rPr>
          <w:rFonts w:hint="eastAsia"/>
        </w:rPr>
      </w:pPr>
      <w:r>
        <w:t>2</w:t>
      </w:r>
      <w:r>
        <w:rPr>
          <w:spacing w:val="-12"/>
        </w:rPr>
        <w:t>、邮购招标文件者，请将报名资料扫描件发至采购代理机构邮箱</w:t>
      </w:r>
      <w:r>
        <w:rPr>
          <w:spacing w:val="-3"/>
        </w:rPr>
        <w:t>（E－mail：</w:t>
      </w:r>
      <w:r>
        <w:fldChar w:fldCharType="begin"/>
      </w:r>
      <w:r>
        <w:instrText xml:space="preserve"> HYPERLINK "mailto:youde_zb@163.com" \h </w:instrText>
      </w:r>
      <w:r>
        <w:fldChar w:fldCharType="separate"/>
      </w:r>
      <w:r>
        <w:rPr>
          <w:spacing w:val="-3"/>
        </w:rPr>
        <w:t xml:space="preserve"> </w:t>
      </w:r>
      <w:r>
        <w:rPr>
          <w:rFonts w:hint="eastAsia"/>
          <w:lang w:val="en-US"/>
        </w:rPr>
        <w:t>1</w:t>
      </w:r>
      <w:r>
        <w:rPr>
          <w:rFonts w:hint="eastAsia"/>
          <w:lang w:val="en-US"/>
        </w:rPr>
        <w:fldChar w:fldCharType="end"/>
      </w:r>
      <w:r>
        <w:rPr>
          <w:rFonts w:hint="eastAsia"/>
          <w:lang w:val="en-US"/>
        </w:rPr>
        <w:t>3925099511@139.com</w:t>
      </w:r>
      <w:r>
        <w:rPr>
          <w:spacing w:val="-3"/>
        </w:rPr>
        <w:t>，联系人及联系电话：</w:t>
      </w:r>
      <w:r>
        <w:rPr>
          <w:rFonts w:hint="eastAsia"/>
          <w:spacing w:val="-3"/>
          <w:lang w:val="en-US"/>
        </w:rPr>
        <w:t>孙</w:t>
      </w:r>
      <w:r>
        <w:rPr>
          <w:spacing w:val="-3"/>
        </w:rPr>
        <w:t>小姐，</w:t>
      </w:r>
      <w:r>
        <w:rPr>
          <w:rFonts w:hint="eastAsia"/>
          <w:spacing w:val="-3"/>
          <w:lang w:val="en-US"/>
        </w:rPr>
        <w:t>020-38803933</w:t>
      </w:r>
      <w:r>
        <w:rPr>
          <w:spacing w:val="-5"/>
        </w:rPr>
        <w:t>），</w:t>
      </w:r>
      <w:r>
        <w:t>并另加快递</w:t>
      </w:r>
      <w:r>
        <w:rPr>
          <w:spacing w:val="-29"/>
        </w:rPr>
        <w:t xml:space="preserve">费 </w:t>
      </w:r>
      <w:r>
        <w:t>50</w:t>
      </w:r>
      <w:r>
        <w:rPr>
          <w:spacing w:val="-27"/>
        </w:rPr>
        <w:t xml:space="preserve"> 元</w:t>
      </w:r>
      <w:r>
        <w:t>（人民币），经采购代理机构工作人员确认后办理相关手续。在任何情况下采购代理机构对邮寄过程中发生的迟交或遗失均不承担责任。</w:t>
      </w:r>
    </w:p>
    <w:p>
      <w:pPr>
        <w:pStyle w:val="12"/>
        <w:spacing w:before="158" w:line="360" w:lineRule="auto"/>
        <w:ind w:firstLine="480" w:firstLineChars="200"/>
      </w:pPr>
      <w:r>
        <w:t>八、投标截止时间：</w:t>
      </w:r>
      <w:r>
        <w:rPr>
          <w:u w:val="single"/>
        </w:rPr>
        <w:t xml:space="preserve">2020 </w:t>
      </w:r>
      <w:r>
        <w:t>年</w:t>
      </w:r>
      <w:r>
        <w:rPr>
          <w:rFonts w:hint="eastAsia"/>
          <w:u w:val="single"/>
        </w:rPr>
        <w:t xml:space="preserve"> </w:t>
      </w:r>
      <w:r>
        <w:rPr>
          <w:u w:val="single"/>
        </w:rPr>
        <w:t xml:space="preserve">7 </w:t>
      </w:r>
      <w:r>
        <w:t>月</w:t>
      </w:r>
      <w:r>
        <w:rPr>
          <w:rFonts w:hint="eastAsia"/>
          <w:u w:val="single"/>
        </w:rPr>
        <w:t xml:space="preserve"> </w:t>
      </w:r>
      <w:r>
        <w:rPr>
          <w:u w:val="single"/>
        </w:rPr>
        <w:t xml:space="preserve">24 </w:t>
      </w:r>
      <w:r>
        <w:t>日</w:t>
      </w:r>
      <w:r>
        <w:rPr>
          <w:u w:val="single"/>
        </w:rPr>
        <w:t xml:space="preserve"> 10 </w:t>
      </w:r>
      <w:r>
        <w:t>时</w:t>
      </w:r>
      <w:r>
        <w:rPr>
          <w:u w:val="single"/>
        </w:rPr>
        <w:t xml:space="preserve"> 00 </w:t>
      </w:r>
      <w:r>
        <w:t>分</w:t>
      </w:r>
    </w:p>
    <w:p>
      <w:pPr>
        <w:pStyle w:val="12"/>
        <w:spacing w:before="160" w:line="360" w:lineRule="auto"/>
        <w:ind w:firstLine="480" w:firstLineChars="200"/>
        <w:rPr>
          <w:lang w:val="en-US"/>
        </w:rPr>
      </w:pPr>
      <w:r>
        <w:t>九、提交投标文件地点：广州市</w:t>
      </w:r>
      <w:r>
        <w:rPr>
          <w:rFonts w:hint="eastAsia"/>
          <w:lang w:val="en-US"/>
        </w:rPr>
        <w:t>天河区燕岭路123号建设大厦</w:t>
      </w:r>
      <w:r>
        <w:rPr>
          <w:lang w:val="en-US"/>
        </w:rPr>
        <w:t>G</w:t>
      </w:r>
      <w:r>
        <w:rPr>
          <w:rFonts w:hint="eastAsia"/>
          <w:lang w:val="en-US"/>
        </w:rPr>
        <w:t>栋4楼</w:t>
      </w:r>
    </w:p>
    <w:p>
      <w:pPr>
        <w:pStyle w:val="12"/>
        <w:spacing w:before="160" w:line="360" w:lineRule="auto"/>
        <w:ind w:firstLine="480" w:firstLineChars="200"/>
      </w:pPr>
      <w:r>
        <w:t>十、开标时间：</w:t>
      </w:r>
      <w:r>
        <w:rPr>
          <w:u w:val="single"/>
        </w:rPr>
        <w:t xml:space="preserve">2020 </w:t>
      </w:r>
      <w:r>
        <w:t>年</w:t>
      </w:r>
      <w:r>
        <w:rPr>
          <w:rFonts w:hint="eastAsia"/>
          <w:u w:val="single"/>
        </w:rPr>
        <w:t xml:space="preserve"> </w:t>
      </w:r>
      <w:r>
        <w:rPr>
          <w:u w:val="single"/>
        </w:rPr>
        <w:t xml:space="preserve">7 </w:t>
      </w:r>
      <w:r>
        <w:t>月</w:t>
      </w:r>
      <w:r>
        <w:rPr>
          <w:rFonts w:hint="eastAsia"/>
          <w:u w:val="single"/>
        </w:rPr>
        <w:t xml:space="preserve"> </w:t>
      </w:r>
      <w:r>
        <w:rPr>
          <w:u w:val="single"/>
        </w:rPr>
        <w:t xml:space="preserve">24 </w:t>
      </w:r>
      <w:r>
        <w:t>日</w:t>
      </w:r>
      <w:r>
        <w:rPr>
          <w:u w:val="single"/>
        </w:rPr>
        <w:t xml:space="preserve"> 10 </w:t>
      </w:r>
      <w:r>
        <w:t>时</w:t>
      </w:r>
      <w:r>
        <w:rPr>
          <w:u w:val="single"/>
        </w:rPr>
        <w:t xml:space="preserve"> 00 </w:t>
      </w:r>
      <w:r>
        <w:t>分</w:t>
      </w:r>
    </w:p>
    <w:p>
      <w:pPr>
        <w:pStyle w:val="12"/>
        <w:spacing w:before="158" w:line="360" w:lineRule="auto"/>
        <w:ind w:firstLine="480" w:firstLineChars="200"/>
      </w:pPr>
      <w:r>
        <w:t>十一、开标地点：广州市</w:t>
      </w:r>
      <w:r>
        <w:rPr>
          <w:rFonts w:hint="eastAsia"/>
          <w:lang w:val="en-US"/>
        </w:rPr>
        <w:t>天河区燕岭路123号建设大厦</w:t>
      </w:r>
      <w:r>
        <w:rPr>
          <w:lang w:val="en-US"/>
        </w:rPr>
        <w:t>G</w:t>
      </w:r>
      <w:r>
        <w:rPr>
          <w:rFonts w:hint="eastAsia"/>
          <w:lang w:val="en-US"/>
        </w:rPr>
        <w:t>栋4楼</w:t>
      </w:r>
    </w:p>
    <w:p>
      <w:pPr>
        <w:pStyle w:val="12"/>
        <w:spacing w:before="161" w:line="360" w:lineRule="auto"/>
        <w:ind w:firstLine="440" w:firstLineChars="200"/>
        <w:rPr>
          <w:spacing w:val="-13"/>
        </w:rPr>
      </w:pPr>
      <w:r>
        <w:rPr>
          <w:spacing w:val="-10"/>
        </w:rPr>
        <w:t>十二、本公告期限：自</w:t>
      </w:r>
      <w:r>
        <w:rPr>
          <w:u w:val="single"/>
        </w:rPr>
        <w:t xml:space="preserve"> 2020 </w:t>
      </w:r>
      <w:r>
        <w:t>年</w:t>
      </w:r>
      <w:r>
        <w:rPr>
          <w:rFonts w:hint="eastAsia"/>
          <w:u w:val="single"/>
        </w:rPr>
        <w:t xml:space="preserve"> </w:t>
      </w:r>
      <w:r>
        <w:rPr>
          <w:u w:val="single"/>
        </w:rPr>
        <w:t xml:space="preserve">7 </w:t>
      </w:r>
      <w:r>
        <w:t>月</w:t>
      </w:r>
      <w:r>
        <w:rPr>
          <w:u w:val="single"/>
        </w:rPr>
        <w:t xml:space="preserve"> 1 </w:t>
      </w:r>
      <w:r>
        <w:t>日至</w:t>
      </w:r>
      <w:r>
        <w:rPr>
          <w:u w:val="single"/>
        </w:rPr>
        <w:t xml:space="preserve"> 2020 </w:t>
      </w:r>
      <w:r>
        <w:t>年</w:t>
      </w:r>
      <w:r>
        <w:rPr>
          <w:rFonts w:hint="eastAsia"/>
          <w:u w:val="single"/>
        </w:rPr>
        <w:t xml:space="preserve"> </w:t>
      </w:r>
      <w:r>
        <w:rPr>
          <w:u w:val="single"/>
        </w:rPr>
        <w:t xml:space="preserve">7 </w:t>
      </w:r>
      <w:r>
        <w:t>月</w:t>
      </w:r>
      <w:r>
        <w:rPr>
          <w:u w:val="single"/>
        </w:rPr>
        <w:t xml:space="preserve"> 7 </w:t>
      </w:r>
      <w:r>
        <w:t>日</w:t>
      </w:r>
      <w:r>
        <w:rPr>
          <w:spacing w:val="-30"/>
        </w:rPr>
        <w:t xml:space="preserve">止 </w:t>
      </w:r>
      <w:r>
        <w:t>5</w:t>
      </w:r>
      <w:r>
        <w:rPr>
          <w:spacing w:val="-13"/>
        </w:rPr>
        <w:t xml:space="preserve"> 个工作日。</w:t>
      </w:r>
    </w:p>
    <w:p>
      <w:pPr>
        <w:pStyle w:val="12"/>
        <w:spacing w:before="161" w:line="360" w:lineRule="auto"/>
        <w:ind w:firstLine="480" w:firstLineChars="200"/>
      </w:pPr>
      <w:r>
        <w:t>十三、联系事项</w:t>
      </w:r>
    </w:p>
    <w:p>
      <w:pPr>
        <w:pStyle w:val="12"/>
        <w:spacing w:line="360" w:lineRule="auto"/>
        <w:ind w:firstLine="480" w:firstLineChars="200"/>
      </w:pPr>
      <w:r>
        <w:t>采购单位：</w:t>
      </w:r>
      <w:r>
        <w:rPr>
          <w:rFonts w:hint="eastAsia"/>
        </w:rPr>
        <w:t xml:space="preserve">广州市杂技艺术剧院有限责任公司 </w:t>
      </w:r>
    </w:p>
    <w:p>
      <w:pPr>
        <w:pStyle w:val="12"/>
        <w:spacing w:line="360" w:lineRule="auto"/>
        <w:ind w:firstLine="464" w:firstLineChars="200"/>
        <w:rPr>
          <w:spacing w:val="-4"/>
        </w:rPr>
      </w:pPr>
      <w:r>
        <w:rPr>
          <w:spacing w:val="-4"/>
        </w:rPr>
        <w:t>地址：</w:t>
      </w:r>
      <w:r>
        <w:rPr>
          <w:rFonts w:hint="eastAsia"/>
          <w:spacing w:val="-4"/>
        </w:rPr>
        <w:t>广州市天河区沙河顶水荫四横路37号大院</w:t>
      </w:r>
    </w:p>
    <w:p>
      <w:pPr>
        <w:pStyle w:val="12"/>
        <w:spacing w:line="360" w:lineRule="auto"/>
        <w:ind w:firstLine="480" w:firstLineChars="200"/>
      </w:pPr>
      <w:r>
        <w:t>联系人：</w:t>
      </w:r>
      <w:r>
        <w:rPr>
          <w:rFonts w:hint="eastAsia"/>
        </w:rPr>
        <w:t>胡先生</w:t>
      </w:r>
    </w:p>
    <w:p>
      <w:pPr>
        <w:pStyle w:val="12"/>
        <w:spacing w:line="360" w:lineRule="auto"/>
        <w:ind w:firstLine="480" w:firstLineChars="200"/>
      </w:pPr>
      <w:r>
        <w:t>联系电话：</w:t>
      </w:r>
      <w:r>
        <w:rPr>
          <w:rFonts w:hint="eastAsia"/>
        </w:rPr>
        <w:t>020-87047099</w:t>
      </w:r>
    </w:p>
    <w:p>
      <w:pPr>
        <w:pStyle w:val="12"/>
        <w:spacing w:line="360" w:lineRule="auto"/>
        <w:ind w:firstLine="480" w:firstLineChars="200"/>
      </w:pPr>
      <w:r>
        <w:t>采购代理机构：</w:t>
      </w:r>
      <w:r>
        <w:rPr>
          <w:rFonts w:hint="eastAsia"/>
        </w:rPr>
        <w:t>中达安股份有限公司</w:t>
      </w:r>
    </w:p>
    <w:p>
      <w:pPr>
        <w:pStyle w:val="12"/>
        <w:spacing w:line="360" w:lineRule="auto"/>
        <w:ind w:firstLine="456" w:firstLineChars="200"/>
        <w:rPr>
          <w:spacing w:val="-6"/>
          <w:lang w:val="en-US"/>
        </w:rPr>
      </w:pPr>
      <w:r>
        <w:rPr>
          <w:spacing w:val="-6"/>
        </w:rPr>
        <w:t>地址：广州市</w:t>
      </w:r>
      <w:r>
        <w:rPr>
          <w:rFonts w:hint="eastAsia"/>
          <w:spacing w:val="-6"/>
          <w:lang w:val="en-US"/>
        </w:rPr>
        <w:t>天河区燕岭路123号建设大厦</w:t>
      </w:r>
      <w:r>
        <w:rPr>
          <w:spacing w:val="-6"/>
          <w:lang w:val="en-US"/>
        </w:rPr>
        <w:t>G</w:t>
      </w:r>
      <w:r>
        <w:rPr>
          <w:rFonts w:hint="eastAsia"/>
          <w:spacing w:val="-6"/>
          <w:lang w:val="en-US"/>
        </w:rPr>
        <w:t>栋4楼</w:t>
      </w:r>
    </w:p>
    <w:p>
      <w:pPr>
        <w:pStyle w:val="12"/>
        <w:spacing w:line="360" w:lineRule="auto"/>
        <w:ind w:firstLine="480" w:firstLineChars="200"/>
        <w:rPr>
          <w:lang w:val="en-US"/>
        </w:rPr>
      </w:pPr>
      <w:r>
        <w:t>联系人：</w:t>
      </w:r>
      <w:r>
        <w:rPr>
          <w:rFonts w:hint="eastAsia"/>
          <w:lang w:val="en-US"/>
        </w:rPr>
        <w:t>孙</w:t>
      </w:r>
      <w:r>
        <w:t>小姐、</w:t>
      </w:r>
      <w:r>
        <w:rPr>
          <w:rFonts w:hint="eastAsia"/>
          <w:lang w:val="en-US"/>
        </w:rPr>
        <w:t>张先生</w:t>
      </w:r>
    </w:p>
    <w:p>
      <w:pPr>
        <w:pStyle w:val="12"/>
        <w:spacing w:line="360" w:lineRule="auto"/>
        <w:ind w:firstLine="480" w:firstLineChars="200"/>
      </w:pPr>
      <w:r>
        <w:t>联系电话：</w:t>
      </w:r>
      <w:r>
        <w:rPr>
          <w:rFonts w:hint="eastAsia"/>
          <w:lang w:val="en-US"/>
        </w:rPr>
        <w:t>020-38803933</w:t>
      </w:r>
    </w:p>
    <w:p>
      <w:pPr>
        <w:pStyle w:val="12"/>
      </w:pPr>
    </w:p>
    <w:p>
      <w:pPr>
        <w:pStyle w:val="12"/>
        <w:spacing w:line="360" w:lineRule="auto"/>
        <w:ind w:right="924" w:firstLine="4080" w:firstLineChars="1700"/>
      </w:pPr>
      <w:r>
        <w:rPr>
          <w:rFonts w:hint="eastAsia"/>
        </w:rPr>
        <w:t>采购代理机构：中达安股份有限公司</w:t>
      </w:r>
    </w:p>
    <w:p>
      <w:pPr>
        <w:pStyle w:val="12"/>
        <w:spacing w:line="360" w:lineRule="auto"/>
        <w:ind w:left="220" w:leftChars="100" w:right="924" w:firstLine="5760" w:firstLineChars="2400"/>
        <w:sectPr>
          <w:footerReference r:id="rId5" w:type="default"/>
          <w:pgSz w:w="11910" w:h="16840"/>
          <w:pgMar w:top="1378" w:right="1378" w:bottom="1378" w:left="1378" w:header="924" w:footer="902" w:gutter="0"/>
          <w:cols w:space="720" w:num="1"/>
        </w:sectPr>
      </w:pPr>
      <w:r>
        <w:t>2020 年</w:t>
      </w:r>
      <w:r>
        <w:rPr>
          <w:rFonts w:hint="eastAsia"/>
        </w:rPr>
        <w:t xml:space="preserve"> </w:t>
      </w:r>
      <w:r>
        <w:t>6 月 30 日</w:t>
      </w:r>
    </w:p>
    <w:p>
      <w:pPr>
        <w:pStyle w:val="3"/>
        <w:ind w:left="0" w:right="0"/>
      </w:pPr>
      <w:bookmarkStart w:id="4" w:name="第二章_投标人须知"/>
      <w:bookmarkEnd w:id="4"/>
      <w:bookmarkStart w:id="5" w:name="_Toc14792"/>
      <w:r>
        <w:t>第二章 投标人须知</w:t>
      </w:r>
      <w:bookmarkEnd w:id="5"/>
      <w:r>
        <w:rPr>
          <w:rFonts w:hint="eastAsia"/>
        </w:rPr>
        <w:t>前附表</w:t>
      </w:r>
    </w:p>
    <w:p/>
    <w:p>
      <w:pPr>
        <w:pStyle w:val="12"/>
        <w:spacing w:line="364" w:lineRule="auto"/>
        <w:ind w:right="825" w:firstLine="480" w:firstLineChars="200"/>
      </w:pPr>
      <w:bookmarkStart w:id="6" w:name="投标人须知前附表"/>
      <w:bookmarkEnd w:id="6"/>
      <w:r>
        <w:t>本表的条款项号是与本章《投标人须知》条款项号对应的，或增加的条款， 是对本章的补充、修改和完善，均已在本表中注明。</w:t>
      </w:r>
    </w:p>
    <w:tbl>
      <w:tblPr>
        <w:tblStyle w:val="19"/>
        <w:tblW w:w="919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42"/>
        <w:gridCol w:w="946"/>
        <w:gridCol w:w="1740"/>
        <w:gridCol w:w="577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exact"/>
          <w:jc w:val="center"/>
        </w:trPr>
        <w:tc>
          <w:tcPr>
            <w:tcW w:w="742" w:type="dxa"/>
            <w:tcBorders>
              <w:top w:val="single" w:color="auto" w:sz="12" w:space="0"/>
              <w:bottom w:val="single" w:color="auto" w:sz="8" w:space="0"/>
            </w:tcBorders>
            <w:vAlign w:val="center"/>
          </w:tcPr>
          <w:p>
            <w:pPr>
              <w:spacing w:line="400" w:lineRule="exact"/>
              <w:jc w:val="center"/>
              <w:rPr>
                <w:b/>
                <w:bCs/>
                <w:spacing w:val="-20"/>
              </w:rPr>
            </w:pPr>
            <w:r>
              <w:rPr>
                <w:rFonts w:hint="eastAsia"/>
                <w:b/>
                <w:bCs/>
                <w:spacing w:val="-20"/>
              </w:rPr>
              <w:t>序号</w:t>
            </w:r>
          </w:p>
        </w:tc>
        <w:tc>
          <w:tcPr>
            <w:tcW w:w="946" w:type="dxa"/>
            <w:tcBorders>
              <w:top w:val="single" w:color="auto" w:sz="12" w:space="0"/>
              <w:bottom w:val="single" w:color="auto" w:sz="8" w:space="0"/>
            </w:tcBorders>
            <w:vAlign w:val="center"/>
          </w:tcPr>
          <w:p>
            <w:pPr>
              <w:spacing w:line="400" w:lineRule="exact"/>
              <w:jc w:val="center"/>
              <w:rPr>
                <w:b/>
                <w:bCs/>
              </w:rPr>
            </w:pPr>
            <w:r>
              <w:rPr>
                <w:rFonts w:hint="eastAsia"/>
                <w:b/>
                <w:bCs/>
              </w:rPr>
              <w:t>条款号</w:t>
            </w:r>
          </w:p>
        </w:tc>
        <w:tc>
          <w:tcPr>
            <w:tcW w:w="1740" w:type="dxa"/>
            <w:tcBorders>
              <w:top w:val="single" w:color="auto" w:sz="12" w:space="0"/>
              <w:bottom w:val="single" w:color="auto" w:sz="8" w:space="0"/>
            </w:tcBorders>
            <w:vAlign w:val="center"/>
          </w:tcPr>
          <w:p>
            <w:pPr>
              <w:spacing w:line="400" w:lineRule="exact"/>
              <w:jc w:val="center"/>
              <w:rPr>
                <w:b/>
                <w:bCs/>
              </w:rPr>
            </w:pPr>
            <w:r>
              <w:rPr>
                <w:rFonts w:hint="eastAsia"/>
                <w:b/>
                <w:bCs/>
              </w:rPr>
              <w:t>类  别</w:t>
            </w:r>
          </w:p>
        </w:tc>
        <w:tc>
          <w:tcPr>
            <w:tcW w:w="5771" w:type="dxa"/>
            <w:tcBorders>
              <w:top w:val="single" w:color="auto" w:sz="12" w:space="0"/>
              <w:bottom w:val="single" w:color="auto" w:sz="8" w:space="0"/>
            </w:tcBorders>
            <w:vAlign w:val="center"/>
          </w:tcPr>
          <w:p>
            <w:pPr>
              <w:spacing w:line="400" w:lineRule="exact"/>
              <w:jc w:val="center"/>
              <w:rPr>
                <w:b/>
                <w:bCs/>
              </w:rPr>
            </w:pPr>
            <w:r>
              <w:rPr>
                <w:rFonts w:hint="eastAsia"/>
                <w:b/>
                <w:bCs/>
              </w:rPr>
              <w:t>内</w:t>
            </w:r>
            <w:r>
              <w:rPr>
                <w:b/>
                <w:bCs/>
              </w:rPr>
              <w:t xml:space="preserve"> </w:t>
            </w:r>
            <w:r>
              <w:rPr>
                <w:rFonts w:hint="eastAsia"/>
                <w:b/>
                <w:bCs/>
              </w:rPr>
              <w:t xml:space="preserve">    </w:t>
            </w:r>
            <w:r>
              <w:rPr>
                <w:b/>
                <w:bCs/>
              </w:rPr>
              <w:t xml:space="preserve">   </w:t>
            </w:r>
            <w:r>
              <w:rPr>
                <w:rFonts w:hint="eastAsia"/>
                <w:b/>
                <w:bCs/>
              </w:rPr>
              <w:t>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742" w:type="dxa"/>
            <w:tcBorders>
              <w:top w:val="single" w:color="auto" w:sz="8" w:space="0"/>
            </w:tcBorders>
            <w:vAlign w:val="center"/>
          </w:tcPr>
          <w:p>
            <w:pPr>
              <w:spacing w:line="400" w:lineRule="exact"/>
              <w:jc w:val="center"/>
            </w:pPr>
            <w:r>
              <w:rPr>
                <w:rFonts w:hint="eastAsia"/>
              </w:rPr>
              <w:t>1</w:t>
            </w:r>
          </w:p>
        </w:tc>
        <w:tc>
          <w:tcPr>
            <w:tcW w:w="946" w:type="dxa"/>
            <w:tcBorders>
              <w:top w:val="single" w:color="auto" w:sz="8" w:space="0"/>
            </w:tcBorders>
            <w:vAlign w:val="center"/>
          </w:tcPr>
          <w:p>
            <w:pPr>
              <w:spacing w:line="400" w:lineRule="exact"/>
              <w:jc w:val="center"/>
            </w:pPr>
            <w:r>
              <w:rPr>
                <w:rFonts w:hint="eastAsia"/>
              </w:rPr>
              <w:t>1.2</w:t>
            </w:r>
          </w:p>
        </w:tc>
        <w:tc>
          <w:tcPr>
            <w:tcW w:w="1740" w:type="dxa"/>
            <w:tcBorders>
              <w:top w:val="single" w:color="auto" w:sz="8" w:space="0"/>
            </w:tcBorders>
            <w:vAlign w:val="center"/>
          </w:tcPr>
          <w:p>
            <w:pPr>
              <w:spacing w:line="400" w:lineRule="exact"/>
              <w:jc w:val="center"/>
            </w:pPr>
            <w:r>
              <w:rPr>
                <w:rFonts w:hint="eastAsia"/>
              </w:rPr>
              <w:t>资金来源</w:t>
            </w:r>
          </w:p>
        </w:tc>
        <w:tc>
          <w:tcPr>
            <w:tcW w:w="5771" w:type="dxa"/>
            <w:tcBorders>
              <w:top w:val="single" w:color="auto" w:sz="8" w:space="0"/>
            </w:tcBorders>
            <w:vAlign w:val="center"/>
          </w:tcPr>
          <w:p>
            <w:pPr>
              <w:spacing w:line="400" w:lineRule="exact"/>
            </w:pPr>
            <w:r>
              <w:rPr>
                <w:rFonts w:hint="eastAsia"/>
              </w:rPr>
              <w:t>财政性资金，资金已落实。</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742" w:type="dxa"/>
            <w:tcBorders>
              <w:top w:val="single" w:color="auto" w:sz="8" w:space="0"/>
            </w:tcBorders>
            <w:vAlign w:val="center"/>
          </w:tcPr>
          <w:p>
            <w:pPr>
              <w:spacing w:line="400" w:lineRule="exact"/>
              <w:jc w:val="center"/>
            </w:pPr>
            <w:r>
              <w:rPr>
                <w:rFonts w:hint="eastAsia"/>
              </w:rPr>
              <w:t>2</w:t>
            </w:r>
          </w:p>
        </w:tc>
        <w:tc>
          <w:tcPr>
            <w:tcW w:w="946" w:type="dxa"/>
            <w:tcBorders>
              <w:top w:val="single" w:color="auto" w:sz="8" w:space="0"/>
            </w:tcBorders>
            <w:vAlign w:val="center"/>
          </w:tcPr>
          <w:p>
            <w:pPr>
              <w:spacing w:line="400" w:lineRule="exact"/>
              <w:jc w:val="center"/>
            </w:pPr>
            <w:r>
              <w:rPr>
                <w:rFonts w:hint="eastAsia"/>
              </w:rPr>
              <w:t>2.1</w:t>
            </w:r>
          </w:p>
        </w:tc>
        <w:tc>
          <w:tcPr>
            <w:tcW w:w="1740" w:type="dxa"/>
            <w:tcBorders>
              <w:top w:val="single" w:color="auto" w:sz="8" w:space="0"/>
            </w:tcBorders>
            <w:vAlign w:val="center"/>
          </w:tcPr>
          <w:p>
            <w:pPr>
              <w:spacing w:line="400" w:lineRule="exact"/>
              <w:jc w:val="center"/>
            </w:pPr>
            <w:r>
              <w:rPr>
                <w:rFonts w:hint="eastAsia"/>
              </w:rPr>
              <w:t>采购人名称</w:t>
            </w:r>
          </w:p>
        </w:tc>
        <w:tc>
          <w:tcPr>
            <w:tcW w:w="5771" w:type="dxa"/>
            <w:tcBorders>
              <w:top w:val="single" w:color="auto" w:sz="8" w:space="0"/>
            </w:tcBorders>
            <w:vAlign w:val="center"/>
          </w:tcPr>
          <w:p>
            <w:pPr>
              <w:spacing w:line="400" w:lineRule="exact"/>
            </w:pPr>
            <w:r>
              <w:rPr>
                <w:rFonts w:hint="eastAsia"/>
              </w:rPr>
              <w:t>广州市杂技艺术剧院有限责任公司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742" w:type="dxa"/>
            <w:tcBorders>
              <w:top w:val="single" w:color="auto" w:sz="8" w:space="0"/>
            </w:tcBorders>
            <w:vAlign w:val="center"/>
          </w:tcPr>
          <w:p>
            <w:pPr>
              <w:spacing w:line="400" w:lineRule="exact"/>
              <w:jc w:val="center"/>
            </w:pPr>
            <w:r>
              <w:rPr>
                <w:rFonts w:hint="eastAsia"/>
              </w:rPr>
              <w:t>3</w:t>
            </w:r>
          </w:p>
        </w:tc>
        <w:tc>
          <w:tcPr>
            <w:tcW w:w="946" w:type="dxa"/>
            <w:tcBorders>
              <w:top w:val="single" w:color="auto" w:sz="8" w:space="0"/>
            </w:tcBorders>
            <w:vAlign w:val="center"/>
          </w:tcPr>
          <w:p>
            <w:pPr>
              <w:spacing w:line="400" w:lineRule="exact"/>
              <w:jc w:val="center"/>
            </w:pPr>
            <w:r>
              <w:rPr>
                <w:rFonts w:hint="eastAsia"/>
              </w:rPr>
              <w:t>5.2.1</w:t>
            </w:r>
          </w:p>
        </w:tc>
        <w:tc>
          <w:tcPr>
            <w:tcW w:w="1740" w:type="dxa"/>
            <w:tcBorders>
              <w:top w:val="single" w:color="auto" w:sz="8" w:space="0"/>
            </w:tcBorders>
            <w:vAlign w:val="center"/>
          </w:tcPr>
          <w:p>
            <w:pPr>
              <w:spacing w:line="400" w:lineRule="exact"/>
              <w:jc w:val="center"/>
            </w:pPr>
            <w:r>
              <w:rPr>
                <w:rFonts w:hint="eastAsia"/>
              </w:rPr>
              <w:t>招标代理服务费</w:t>
            </w:r>
          </w:p>
        </w:tc>
        <w:tc>
          <w:tcPr>
            <w:tcW w:w="5771" w:type="dxa"/>
            <w:tcBorders>
              <w:top w:val="single" w:color="auto" w:sz="8" w:space="0"/>
            </w:tcBorders>
            <w:vAlign w:val="center"/>
          </w:tcPr>
          <w:p>
            <w:pPr>
              <w:spacing w:line="400" w:lineRule="exact"/>
            </w:pPr>
            <w:r>
              <w:rPr>
                <w:rFonts w:hint="eastAsia"/>
              </w:rPr>
              <w:t>本次招标向中标人收取的中标服务费，按国家有关规定执行。中标单位在收取《中标通知书》时应向采购代理机构交纳中标服务费，中标服务费为固定值：</w:t>
            </w:r>
            <w:r>
              <w:rPr>
                <w:rFonts w:hint="eastAsia"/>
                <w:u w:val="single"/>
              </w:rPr>
              <w:t>￥</w:t>
            </w:r>
            <w:r>
              <w:rPr>
                <w:rFonts w:hint="eastAsia"/>
                <w:u w:val="single"/>
                <w:lang w:val="en-US"/>
              </w:rPr>
              <w:t>26000</w:t>
            </w:r>
            <w:r>
              <w:rPr>
                <w:rFonts w:hint="eastAsia"/>
                <w:u w:val="single"/>
              </w:rPr>
              <w:t>.00（大写：人民币</w:t>
            </w:r>
            <w:r>
              <w:rPr>
                <w:rFonts w:hint="eastAsia"/>
                <w:u w:val="single"/>
                <w:lang w:val="en-US"/>
              </w:rPr>
              <w:t>贰万陆仟</w:t>
            </w:r>
            <w:r>
              <w:rPr>
                <w:rFonts w:hint="eastAsia"/>
                <w:u w:val="single"/>
              </w:rPr>
              <w:t>整）</w:t>
            </w:r>
            <w:r>
              <w:rPr>
                <w:rFonts w:hint="eastAsia"/>
              </w:rPr>
              <w:t>。</w:t>
            </w:r>
          </w:p>
          <w:p>
            <w:pPr>
              <w:pStyle w:val="11"/>
              <w:spacing w:line="400" w:lineRule="exact"/>
            </w:pPr>
            <w:r>
              <w:rPr>
                <w:rFonts w:hint="eastAsia"/>
              </w:rPr>
              <w:t>收款账号信息：</w:t>
            </w:r>
          </w:p>
          <w:p>
            <w:pPr>
              <w:pStyle w:val="11"/>
              <w:spacing w:line="400" w:lineRule="exact"/>
            </w:pPr>
            <w:r>
              <w:rPr>
                <w:rFonts w:hint="eastAsia"/>
              </w:rPr>
              <w:t>单位名称：中达安股份有限公司</w:t>
            </w:r>
          </w:p>
          <w:p>
            <w:pPr>
              <w:pStyle w:val="11"/>
              <w:spacing w:line="400" w:lineRule="exact"/>
            </w:pPr>
            <w:r>
              <w:rPr>
                <w:rFonts w:hint="eastAsia"/>
              </w:rPr>
              <w:t>单位账号：82010154740009407</w:t>
            </w:r>
          </w:p>
          <w:p>
            <w:pPr>
              <w:pStyle w:val="11"/>
              <w:spacing w:line="400" w:lineRule="exact"/>
            </w:pPr>
            <w:r>
              <w:rPr>
                <w:rFonts w:hint="eastAsia"/>
              </w:rPr>
              <w:t>开户行：上海浦东发展银行股份有限公司广州分行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2" w:hRule="atLeast"/>
          <w:jc w:val="center"/>
        </w:trPr>
        <w:tc>
          <w:tcPr>
            <w:tcW w:w="742" w:type="dxa"/>
            <w:vAlign w:val="center"/>
          </w:tcPr>
          <w:p>
            <w:pPr>
              <w:spacing w:line="400" w:lineRule="exact"/>
              <w:jc w:val="center"/>
            </w:pPr>
            <w:r>
              <w:rPr>
                <w:rFonts w:hint="eastAsia"/>
              </w:rPr>
              <w:t>4</w:t>
            </w:r>
          </w:p>
        </w:tc>
        <w:tc>
          <w:tcPr>
            <w:tcW w:w="946" w:type="dxa"/>
            <w:vAlign w:val="center"/>
          </w:tcPr>
          <w:p>
            <w:pPr>
              <w:spacing w:line="400" w:lineRule="exact"/>
              <w:jc w:val="center"/>
            </w:pPr>
            <w:r>
              <w:rPr>
                <w:rFonts w:hint="eastAsia"/>
              </w:rPr>
              <w:t>10.1</w:t>
            </w:r>
          </w:p>
        </w:tc>
        <w:tc>
          <w:tcPr>
            <w:tcW w:w="1740" w:type="dxa"/>
            <w:vAlign w:val="center"/>
          </w:tcPr>
          <w:p>
            <w:pPr>
              <w:spacing w:line="400" w:lineRule="exact"/>
              <w:jc w:val="center"/>
            </w:pPr>
            <w:r>
              <w:rPr>
                <w:rFonts w:hint="eastAsia"/>
                <w:szCs w:val="21"/>
              </w:rPr>
              <w:t>现场考察</w:t>
            </w:r>
          </w:p>
        </w:tc>
        <w:tc>
          <w:tcPr>
            <w:tcW w:w="5771" w:type="dxa"/>
            <w:vAlign w:val="center"/>
          </w:tcPr>
          <w:p>
            <w:pPr>
              <w:spacing w:line="400" w:lineRule="exact"/>
            </w:pPr>
            <w:r>
              <w:rPr>
                <w:rFonts w:hint="eastAsia"/>
              </w:rPr>
              <w:t>不组织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rPr>
                <w:rFonts w:hint="eastAsia"/>
              </w:rPr>
              <w:t>5</w:t>
            </w:r>
          </w:p>
        </w:tc>
        <w:tc>
          <w:tcPr>
            <w:tcW w:w="946" w:type="dxa"/>
            <w:vAlign w:val="center"/>
          </w:tcPr>
          <w:p>
            <w:pPr>
              <w:spacing w:line="400" w:lineRule="exact"/>
              <w:jc w:val="center"/>
            </w:pPr>
            <w:r>
              <w:rPr>
                <w:rFonts w:hint="eastAsia"/>
              </w:rPr>
              <w:t>12</w:t>
            </w:r>
          </w:p>
        </w:tc>
        <w:tc>
          <w:tcPr>
            <w:tcW w:w="1740" w:type="dxa"/>
            <w:vAlign w:val="center"/>
          </w:tcPr>
          <w:p>
            <w:pPr>
              <w:spacing w:line="400" w:lineRule="exact"/>
              <w:jc w:val="center"/>
            </w:pPr>
            <w:r>
              <w:rPr>
                <w:rFonts w:hint="eastAsia"/>
              </w:rPr>
              <w:t>答疑会</w:t>
            </w:r>
          </w:p>
        </w:tc>
        <w:tc>
          <w:tcPr>
            <w:tcW w:w="5771" w:type="dxa"/>
            <w:vAlign w:val="center"/>
          </w:tcPr>
          <w:p>
            <w:pPr>
              <w:spacing w:line="400" w:lineRule="exact"/>
            </w:pPr>
            <w:r>
              <w:rPr>
                <w:rFonts w:hint="eastAsia"/>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rPr>
                <w:rFonts w:hint="eastAsia"/>
              </w:rPr>
              <w:t>6</w:t>
            </w:r>
          </w:p>
        </w:tc>
        <w:tc>
          <w:tcPr>
            <w:tcW w:w="946" w:type="dxa"/>
            <w:vAlign w:val="center"/>
          </w:tcPr>
          <w:p>
            <w:pPr>
              <w:spacing w:line="400" w:lineRule="exact"/>
              <w:jc w:val="center"/>
            </w:pPr>
            <w:r>
              <w:rPr>
                <w:rFonts w:hint="eastAsia"/>
              </w:rPr>
              <w:t>12.1</w:t>
            </w:r>
          </w:p>
        </w:tc>
        <w:tc>
          <w:tcPr>
            <w:tcW w:w="1740" w:type="dxa"/>
            <w:vAlign w:val="center"/>
          </w:tcPr>
          <w:p>
            <w:pPr>
              <w:spacing w:line="400" w:lineRule="exact"/>
              <w:jc w:val="center"/>
            </w:pPr>
            <w:r>
              <w:rPr>
                <w:rFonts w:hint="eastAsia"/>
                <w:color w:val="000000"/>
                <w:szCs w:val="21"/>
              </w:rPr>
              <w:t>投标人提出澄清的截止时间和方式</w:t>
            </w:r>
          </w:p>
        </w:tc>
        <w:tc>
          <w:tcPr>
            <w:tcW w:w="5771" w:type="dxa"/>
            <w:vAlign w:val="center"/>
          </w:tcPr>
          <w:p>
            <w:pPr>
              <w:spacing w:line="400" w:lineRule="exact"/>
            </w:pPr>
            <w:r>
              <w:rPr>
                <w:rFonts w:hint="eastAsia"/>
              </w:rPr>
              <w:t>截止时间：</w:t>
            </w:r>
            <w:r>
              <w:t>20</w:t>
            </w:r>
            <w:r>
              <w:rPr>
                <w:rFonts w:hint="eastAsia"/>
              </w:rPr>
              <w:t>20</w:t>
            </w:r>
            <w:r>
              <w:t>年7月8日17：00前（北京时间，下同）</w:t>
            </w:r>
          </w:p>
          <w:p>
            <w:pPr>
              <w:spacing w:line="400" w:lineRule="exact"/>
            </w:pPr>
            <w:r>
              <w:rPr>
                <w:rFonts w:hint="eastAsia"/>
              </w:rPr>
              <w:t>提出澄清的方式：将疑问文件电子版（须为可编辑的</w:t>
            </w:r>
            <w:r>
              <w:t>WORD文档）与盖章的纸质版扫描件发送至代理邮箱13925099511@139.com；如WORD文档内容与盖章的纸质版扫描件内容不一致的，以盖章的纸质版扫描件内容为准。在规定的时间未收到投标人的疑问函视为无疑问，投标人不得以未提出疑问作为招标文件存在错漏的理由。</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rPr>
                <w:rFonts w:hint="eastAsia"/>
              </w:rPr>
              <w:t>7</w:t>
            </w:r>
          </w:p>
        </w:tc>
        <w:tc>
          <w:tcPr>
            <w:tcW w:w="946" w:type="dxa"/>
            <w:vAlign w:val="center"/>
          </w:tcPr>
          <w:p>
            <w:pPr>
              <w:spacing w:line="400" w:lineRule="exact"/>
              <w:jc w:val="center"/>
            </w:pPr>
            <w:r>
              <w:rPr>
                <w:rFonts w:hint="eastAsia"/>
              </w:rPr>
              <w:t>13.1</w:t>
            </w:r>
          </w:p>
        </w:tc>
        <w:tc>
          <w:tcPr>
            <w:tcW w:w="1740" w:type="dxa"/>
            <w:vAlign w:val="center"/>
          </w:tcPr>
          <w:p>
            <w:pPr>
              <w:spacing w:line="400" w:lineRule="exact"/>
              <w:jc w:val="center"/>
            </w:pPr>
            <w:r>
              <w:rPr>
                <w:rFonts w:hint="eastAsia"/>
                <w:color w:val="000000"/>
                <w:szCs w:val="21"/>
              </w:rPr>
              <w:t>采购人发出招标文件澄清或修改的截止时间和方式</w:t>
            </w:r>
          </w:p>
        </w:tc>
        <w:tc>
          <w:tcPr>
            <w:tcW w:w="5771" w:type="dxa"/>
            <w:vAlign w:val="center"/>
          </w:tcPr>
          <w:p>
            <w:pPr>
              <w:rPr>
                <w:szCs w:val="21"/>
              </w:rPr>
            </w:pPr>
            <w:r>
              <w:rPr>
                <w:rFonts w:hint="eastAsia"/>
                <w:szCs w:val="21"/>
              </w:rPr>
              <w:t>截止时间：20</w:t>
            </w:r>
            <w:r>
              <w:rPr>
                <w:szCs w:val="21"/>
              </w:rPr>
              <w:t>20</w:t>
            </w:r>
            <w:r>
              <w:rPr>
                <w:rFonts w:hint="eastAsia"/>
                <w:szCs w:val="21"/>
              </w:rPr>
              <w:t>年</w:t>
            </w:r>
            <w:r>
              <w:rPr>
                <w:szCs w:val="21"/>
              </w:rPr>
              <w:t>7</w:t>
            </w:r>
            <w:r>
              <w:rPr>
                <w:rFonts w:hint="eastAsia"/>
                <w:szCs w:val="21"/>
              </w:rPr>
              <w:t>月</w:t>
            </w:r>
            <w:r>
              <w:rPr>
                <w:szCs w:val="21"/>
              </w:rPr>
              <w:t>9</w:t>
            </w:r>
            <w:r>
              <w:rPr>
                <w:rFonts w:hint="eastAsia"/>
                <w:szCs w:val="21"/>
              </w:rPr>
              <w:t>日</w:t>
            </w:r>
            <w:r>
              <w:rPr>
                <w:szCs w:val="21"/>
              </w:rPr>
              <w:t>12</w:t>
            </w:r>
            <w:r>
              <w:rPr>
                <w:rFonts w:hint="eastAsia"/>
                <w:szCs w:val="21"/>
              </w:rPr>
              <w:t>时</w:t>
            </w:r>
            <w:r>
              <w:rPr>
                <w:szCs w:val="21"/>
              </w:rPr>
              <w:t>0</w:t>
            </w:r>
            <w:r>
              <w:rPr>
                <w:rFonts w:hint="eastAsia"/>
                <w:szCs w:val="21"/>
              </w:rPr>
              <w:t>0分前</w:t>
            </w:r>
          </w:p>
          <w:p>
            <w:pPr>
              <w:spacing w:line="400" w:lineRule="exact"/>
            </w:pPr>
            <w:r>
              <w:rPr>
                <w:rFonts w:hint="eastAsia"/>
                <w:szCs w:val="21"/>
              </w:rPr>
              <w:t>发出澄清或修改的方式：盖章后以纸质文件或电子扫描件的形式发出，采购人的书面答疑或澄清文件为《招标文件》的一部分，具备同等法律效力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rPr>
                <w:rFonts w:hint="eastAsia"/>
              </w:rPr>
              <w:t>8</w:t>
            </w:r>
          </w:p>
        </w:tc>
        <w:tc>
          <w:tcPr>
            <w:tcW w:w="946" w:type="dxa"/>
            <w:vAlign w:val="center"/>
          </w:tcPr>
          <w:p>
            <w:pPr>
              <w:spacing w:line="400" w:lineRule="exact"/>
              <w:jc w:val="center"/>
            </w:pPr>
            <w:r>
              <w:rPr>
                <w:rFonts w:hint="eastAsia"/>
              </w:rPr>
              <w:t>1</w:t>
            </w:r>
            <w:r>
              <w:t>3</w:t>
            </w:r>
            <w:r>
              <w:rPr>
                <w:rFonts w:hint="eastAsia"/>
              </w:rPr>
              <w:t>.2</w:t>
            </w:r>
          </w:p>
        </w:tc>
        <w:tc>
          <w:tcPr>
            <w:tcW w:w="1740" w:type="dxa"/>
            <w:vAlign w:val="center"/>
          </w:tcPr>
          <w:p>
            <w:pPr>
              <w:spacing w:line="400" w:lineRule="exact"/>
              <w:jc w:val="center"/>
            </w:pPr>
            <w:r>
              <w:rPr>
                <w:rFonts w:hint="eastAsia"/>
                <w:color w:val="000000"/>
                <w:szCs w:val="21"/>
              </w:rPr>
              <w:t>投标人确认收到澄清或修改的截止时间和方式</w:t>
            </w:r>
          </w:p>
        </w:tc>
        <w:tc>
          <w:tcPr>
            <w:tcW w:w="5771" w:type="dxa"/>
            <w:vAlign w:val="center"/>
          </w:tcPr>
          <w:p>
            <w:pPr>
              <w:spacing w:line="400" w:lineRule="exact"/>
            </w:pPr>
            <w:r>
              <w:rPr>
                <w:rFonts w:hint="eastAsia"/>
              </w:rPr>
              <w:t>确认收到澄清或修改的时间：</w:t>
            </w:r>
            <w:r>
              <w:t>2020年7月9日</w:t>
            </w:r>
          </w:p>
          <w:p>
            <w:pPr>
              <w:spacing w:line="400" w:lineRule="exact"/>
            </w:pPr>
            <w:r>
              <w:rPr>
                <w:rFonts w:hint="eastAsia"/>
              </w:rPr>
              <w:t>确认收到澄清或修改文件的方式：书面方式。</w:t>
            </w:r>
          </w:p>
          <w:p>
            <w:pPr>
              <w:spacing w:line="400" w:lineRule="exact"/>
            </w:pPr>
            <w:r>
              <w:rPr>
                <w:rFonts w:hint="eastAsia"/>
              </w:rPr>
              <w:t>在规定时间内没有收到投标人书面确认的，视为已收到，投标人不得以未收到澄清或修改的文件作为招标文件存在错漏的理由。</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9</w:t>
            </w:r>
          </w:p>
        </w:tc>
        <w:tc>
          <w:tcPr>
            <w:tcW w:w="946" w:type="dxa"/>
            <w:vAlign w:val="center"/>
          </w:tcPr>
          <w:p>
            <w:pPr>
              <w:spacing w:line="400" w:lineRule="exact"/>
              <w:jc w:val="center"/>
            </w:pPr>
            <w:r>
              <w:rPr>
                <w:rFonts w:hint="eastAsia"/>
              </w:rPr>
              <w:t>16.2</w:t>
            </w:r>
          </w:p>
        </w:tc>
        <w:tc>
          <w:tcPr>
            <w:tcW w:w="1740" w:type="dxa"/>
            <w:vAlign w:val="center"/>
          </w:tcPr>
          <w:p>
            <w:pPr>
              <w:spacing w:line="400" w:lineRule="exact"/>
              <w:jc w:val="center"/>
            </w:pPr>
            <w:r>
              <w:rPr>
                <w:rFonts w:hint="eastAsia"/>
              </w:rPr>
              <w:t>投标文件的装订和封装</w:t>
            </w:r>
          </w:p>
        </w:tc>
        <w:tc>
          <w:tcPr>
            <w:tcW w:w="5771" w:type="dxa"/>
            <w:vAlign w:val="center"/>
          </w:tcPr>
          <w:p>
            <w:pPr>
              <w:spacing w:line="400" w:lineRule="exact"/>
              <w:rPr>
                <w:spacing w:val="-5"/>
              </w:rPr>
            </w:pPr>
            <w:r>
              <w:rPr>
                <w:b/>
                <w:spacing w:val="-5"/>
              </w:rPr>
              <w:t>开标一览表</w:t>
            </w:r>
            <w:r>
              <w:rPr>
                <w:b/>
              </w:rPr>
              <w:t>（</w:t>
            </w:r>
            <w:r>
              <w:rPr>
                <w:b/>
                <w:spacing w:val="-2"/>
              </w:rPr>
              <w:t>原件</w:t>
            </w:r>
            <w:r>
              <w:rPr>
                <w:b/>
                <w:spacing w:val="-106"/>
              </w:rPr>
              <w:t>）</w:t>
            </w:r>
            <w:r>
              <w:rPr>
                <w:b/>
                <w:spacing w:val="-6"/>
              </w:rPr>
              <w:t>、法定代表人证明书或法定代表人授权书</w:t>
            </w:r>
            <w:r>
              <w:rPr>
                <w:spacing w:val="-7"/>
              </w:rPr>
              <w:t>一起封装，封套盖</w:t>
            </w:r>
            <w:r>
              <w:rPr>
                <w:spacing w:val="-5"/>
              </w:rPr>
              <w:t>章并标明项目编号、投标人名称及“开标一览表”等字样</w:t>
            </w:r>
            <w:r>
              <w:rPr>
                <w:rFonts w:hint="eastAsia"/>
                <w:spacing w:val="-5"/>
              </w:rPr>
              <w:t>。</w:t>
            </w:r>
          </w:p>
          <w:p>
            <w:pPr>
              <w:spacing w:line="400" w:lineRule="exact"/>
            </w:pPr>
            <w:r>
              <w:t>投标文件</w:t>
            </w:r>
            <w:r>
              <w:rPr>
                <w:b/>
              </w:rPr>
              <w:t>正本壹份</w:t>
            </w:r>
            <w:r>
              <w:t>和</w:t>
            </w:r>
            <w:r>
              <w:rPr>
                <w:b/>
              </w:rPr>
              <w:t>电子标书壹份</w:t>
            </w:r>
            <w:r>
              <w:t>一起封装，封套盖章并标明项目编号、投标人名称及“正本”等字样</w:t>
            </w:r>
            <w:r>
              <w:rPr>
                <w:rFonts w:hint="eastAsia"/>
              </w:rPr>
              <w:t>。</w:t>
            </w:r>
          </w:p>
          <w:p>
            <w:pPr>
              <w:spacing w:line="400" w:lineRule="exact"/>
            </w:pPr>
            <w:r>
              <w:rPr>
                <w:spacing w:val="-1"/>
              </w:rPr>
              <w:t>投标文件</w:t>
            </w:r>
            <w:r>
              <w:rPr>
                <w:b/>
              </w:rPr>
              <w:t>副本</w:t>
            </w:r>
            <w:r>
              <w:rPr>
                <w:rFonts w:hint="eastAsia"/>
                <w:b/>
              </w:rPr>
              <w:t>肆</w:t>
            </w:r>
            <w:r>
              <w:rPr>
                <w:b/>
              </w:rPr>
              <w:t>份</w:t>
            </w:r>
            <w:r>
              <w:rPr>
                <w:spacing w:val="-8"/>
              </w:rPr>
              <w:t>一起封装，封套盖章并标明项目编号、投标人名称及“副本” 等字样</w:t>
            </w:r>
            <w:r>
              <w:rPr>
                <w:rFonts w:hint="eastAsia"/>
                <w:spacing w:val="-8"/>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10</w:t>
            </w:r>
          </w:p>
        </w:tc>
        <w:tc>
          <w:tcPr>
            <w:tcW w:w="946" w:type="dxa"/>
            <w:vAlign w:val="center"/>
          </w:tcPr>
          <w:p>
            <w:pPr>
              <w:spacing w:line="400" w:lineRule="exact"/>
              <w:jc w:val="center"/>
            </w:pPr>
            <w:r>
              <w:rPr>
                <w:rFonts w:hint="eastAsia"/>
              </w:rPr>
              <w:t>18</w:t>
            </w:r>
          </w:p>
        </w:tc>
        <w:tc>
          <w:tcPr>
            <w:tcW w:w="1740" w:type="dxa"/>
            <w:vAlign w:val="center"/>
          </w:tcPr>
          <w:p>
            <w:pPr>
              <w:spacing w:line="400" w:lineRule="exact"/>
              <w:jc w:val="center"/>
            </w:pPr>
            <w:r>
              <w:rPr>
                <w:rFonts w:hint="eastAsia"/>
              </w:rPr>
              <w:t>备选方案</w:t>
            </w:r>
          </w:p>
        </w:tc>
        <w:tc>
          <w:tcPr>
            <w:tcW w:w="5771" w:type="dxa"/>
            <w:vAlign w:val="center"/>
          </w:tcPr>
          <w:p>
            <w:pPr>
              <w:spacing w:line="400" w:lineRule="exact"/>
            </w:pPr>
            <w:r>
              <w:rPr>
                <w:rFonts w:hint="eastAsia"/>
              </w:rPr>
              <w:t>不允许提交备选方案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11</w:t>
            </w:r>
          </w:p>
        </w:tc>
        <w:tc>
          <w:tcPr>
            <w:tcW w:w="946" w:type="dxa"/>
            <w:vAlign w:val="center"/>
          </w:tcPr>
          <w:p>
            <w:pPr>
              <w:spacing w:line="400" w:lineRule="exact"/>
              <w:jc w:val="center"/>
            </w:pPr>
            <w:r>
              <w:rPr>
                <w:rFonts w:hint="eastAsia"/>
              </w:rPr>
              <w:t>19</w:t>
            </w:r>
          </w:p>
        </w:tc>
        <w:tc>
          <w:tcPr>
            <w:tcW w:w="1740" w:type="dxa"/>
            <w:vAlign w:val="center"/>
          </w:tcPr>
          <w:p>
            <w:pPr>
              <w:spacing w:line="400" w:lineRule="exact"/>
              <w:jc w:val="center"/>
            </w:pPr>
            <w:r>
              <w:rPr>
                <w:rFonts w:hint="eastAsia"/>
              </w:rPr>
              <w:t>联合体投标</w:t>
            </w:r>
          </w:p>
        </w:tc>
        <w:tc>
          <w:tcPr>
            <w:tcW w:w="5771" w:type="dxa"/>
            <w:vAlign w:val="center"/>
          </w:tcPr>
          <w:p>
            <w:pPr>
              <w:spacing w:line="400" w:lineRule="exact"/>
            </w:pPr>
            <w:r>
              <w:rPr>
                <w:rFonts w:hint="eastAsia"/>
              </w:rPr>
              <w:t>本项目</w:t>
            </w:r>
            <w:r>
              <w:rPr>
                <w:rFonts w:hint="eastAsia"/>
                <w:lang w:val="en-US"/>
              </w:rPr>
              <w:t>不</w:t>
            </w:r>
            <w:r>
              <w:rPr>
                <w:rFonts w:hint="eastAsia"/>
              </w:rPr>
              <w:t>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12</w:t>
            </w:r>
          </w:p>
        </w:tc>
        <w:tc>
          <w:tcPr>
            <w:tcW w:w="946" w:type="dxa"/>
            <w:vAlign w:val="center"/>
          </w:tcPr>
          <w:p>
            <w:pPr>
              <w:spacing w:line="400" w:lineRule="exact"/>
              <w:jc w:val="center"/>
            </w:pPr>
            <w:r>
              <w:rPr>
                <w:rFonts w:hint="eastAsia"/>
              </w:rPr>
              <w:t>21.4</w:t>
            </w:r>
          </w:p>
          <w:p>
            <w:pPr>
              <w:spacing w:line="400" w:lineRule="exact"/>
              <w:jc w:val="center"/>
            </w:pPr>
            <w:r>
              <w:rPr>
                <w:rFonts w:hint="eastAsia"/>
              </w:rPr>
              <w:t>21.5</w:t>
            </w:r>
          </w:p>
        </w:tc>
        <w:tc>
          <w:tcPr>
            <w:tcW w:w="1740" w:type="dxa"/>
            <w:vAlign w:val="center"/>
          </w:tcPr>
          <w:p>
            <w:pPr>
              <w:spacing w:line="400" w:lineRule="exact"/>
              <w:jc w:val="center"/>
            </w:pPr>
            <w:r>
              <w:rPr>
                <w:rFonts w:hint="eastAsia"/>
              </w:rPr>
              <w:t>投标保证金</w:t>
            </w:r>
          </w:p>
        </w:tc>
        <w:tc>
          <w:tcPr>
            <w:tcW w:w="5771" w:type="dxa"/>
            <w:vAlign w:val="center"/>
          </w:tcPr>
          <w:p>
            <w:pPr>
              <w:spacing w:line="400" w:lineRule="exact"/>
              <w:rPr>
                <w:szCs w:val="21"/>
              </w:rPr>
            </w:pPr>
            <w:r>
              <w:rPr>
                <w:rFonts w:hint="eastAsia"/>
                <w:bCs/>
                <w:szCs w:val="20"/>
              </w:rPr>
              <w:t>本项目不涉及投标保证金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rPr>
                <w:rFonts w:hint="eastAsia"/>
              </w:rPr>
              <w:t>1</w:t>
            </w:r>
            <w:r>
              <w:t>3</w:t>
            </w:r>
          </w:p>
        </w:tc>
        <w:tc>
          <w:tcPr>
            <w:tcW w:w="946" w:type="dxa"/>
            <w:vAlign w:val="center"/>
          </w:tcPr>
          <w:p>
            <w:pPr>
              <w:spacing w:line="400" w:lineRule="exact"/>
              <w:jc w:val="center"/>
            </w:pPr>
            <w:r>
              <w:rPr>
                <w:rFonts w:hint="eastAsia"/>
              </w:rPr>
              <w:t>22.1</w:t>
            </w:r>
          </w:p>
        </w:tc>
        <w:tc>
          <w:tcPr>
            <w:tcW w:w="1740" w:type="dxa"/>
            <w:vAlign w:val="center"/>
          </w:tcPr>
          <w:p>
            <w:pPr>
              <w:spacing w:line="400" w:lineRule="exact"/>
              <w:jc w:val="center"/>
            </w:pPr>
            <w:r>
              <w:rPr>
                <w:rFonts w:hint="eastAsia"/>
              </w:rPr>
              <w:t>投标截止时间</w:t>
            </w:r>
          </w:p>
        </w:tc>
        <w:tc>
          <w:tcPr>
            <w:tcW w:w="5771" w:type="dxa"/>
            <w:vAlign w:val="center"/>
          </w:tcPr>
          <w:p>
            <w:pPr>
              <w:spacing w:line="400" w:lineRule="exact"/>
            </w:pPr>
            <w:r>
              <w:rPr>
                <w:rFonts w:hint="eastAsia"/>
              </w:rPr>
              <w:t>见投标邀请函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14</w:t>
            </w:r>
          </w:p>
        </w:tc>
        <w:tc>
          <w:tcPr>
            <w:tcW w:w="946" w:type="dxa"/>
            <w:vAlign w:val="center"/>
          </w:tcPr>
          <w:p>
            <w:pPr>
              <w:spacing w:line="400" w:lineRule="exact"/>
              <w:jc w:val="center"/>
            </w:pPr>
            <w:r>
              <w:rPr>
                <w:rFonts w:hint="eastAsia"/>
              </w:rPr>
              <w:t>22.2</w:t>
            </w:r>
          </w:p>
        </w:tc>
        <w:tc>
          <w:tcPr>
            <w:tcW w:w="1740" w:type="dxa"/>
            <w:vAlign w:val="center"/>
          </w:tcPr>
          <w:p>
            <w:pPr>
              <w:spacing w:line="400" w:lineRule="exact"/>
              <w:jc w:val="center"/>
            </w:pPr>
            <w:r>
              <w:rPr>
                <w:rFonts w:hint="eastAsia"/>
              </w:rPr>
              <w:t>投标有效期</w:t>
            </w:r>
          </w:p>
        </w:tc>
        <w:tc>
          <w:tcPr>
            <w:tcW w:w="5771" w:type="dxa"/>
            <w:vAlign w:val="center"/>
          </w:tcPr>
          <w:p>
            <w:pPr>
              <w:spacing w:line="400" w:lineRule="exact"/>
            </w:pPr>
            <w:r>
              <w:rPr>
                <w:rFonts w:hint="eastAsia"/>
              </w:rPr>
              <w:t>90天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15</w:t>
            </w:r>
          </w:p>
        </w:tc>
        <w:tc>
          <w:tcPr>
            <w:tcW w:w="946" w:type="dxa"/>
            <w:vAlign w:val="center"/>
          </w:tcPr>
          <w:p>
            <w:pPr>
              <w:spacing w:line="400" w:lineRule="exact"/>
              <w:jc w:val="center"/>
            </w:pPr>
            <w:r>
              <w:rPr>
                <w:rFonts w:hint="eastAsia"/>
              </w:rPr>
              <w:t>29.2</w:t>
            </w:r>
          </w:p>
        </w:tc>
        <w:tc>
          <w:tcPr>
            <w:tcW w:w="1740" w:type="dxa"/>
            <w:vAlign w:val="center"/>
          </w:tcPr>
          <w:p>
            <w:pPr>
              <w:spacing w:line="400" w:lineRule="exact"/>
              <w:jc w:val="center"/>
              <w:rPr>
                <w:szCs w:val="21"/>
              </w:rPr>
            </w:pPr>
            <w:r>
              <w:rPr>
                <w:rFonts w:hint="eastAsia"/>
                <w:szCs w:val="21"/>
              </w:rPr>
              <w:t>开标宣布的内容</w:t>
            </w:r>
          </w:p>
        </w:tc>
        <w:tc>
          <w:tcPr>
            <w:tcW w:w="5771" w:type="dxa"/>
            <w:vAlign w:val="center"/>
          </w:tcPr>
          <w:p>
            <w:pPr>
              <w:spacing w:line="400" w:lineRule="exact"/>
              <w:rPr>
                <w:szCs w:val="21"/>
              </w:rPr>
            </w:pPr>
            <w:r>
              <w:rPr>
                <w:rFonts w:hint="eastAsia"/>
                <w:szCs w:val="21"/>
              </w:rPr>
              <w:t>投标文件格式中的《开标一览表》的内容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Align w:val="center"/>
          </w:tcPr>
          <w:p>
            <w:pPr>
              <w:spacing w:line="400" w:lineRule="exact"/>
              <w:jc w:val="center"/>
            </w:pPr>
            <w:r>
              <w:t>16</w:t>
            </w:r>
          </w:p>
        </w:tc>
        <w:tc>
          <w:tcPr>
            <w:tcW w:w="946" w:type="dxa"/>
            <w:vAlign w:val="center"/>
          </w:tcPr>
          <w:p>
            <w:pPr>
              <w:spacing w:line="400" w:lineRule="exact"/>
              <w:jc w:val="center"/>
            </w:pPr>
            <w:r>
              <w:rPr>
                <w:rFonts w:hint="eastAsia"/>
              </w:rPr>
              <w:t>32.1</w:t>
            </w:r>
          </w:p>
        </w:tc>
        <w:tc>
          <w:tcPr>
            <w:tcW w:w="1740" w:type="dxa"/>
            <w:vAlign w:val="center"/>
          </w:tcPr>
          <w:p>
            <w:pPr>
              <w:spacing w:line="400" w:lineRule="exact"/>
              <w:jc w:val="center"/>
              <w:rPr>
                <w:szCs w:val="21"/>
              </w:rPr>
            </w:pPr>
            <w:r>
              <w:rPr>
                <w:rFonts w:hint="eastAsia"/>
                <w:szCs w:val="21"/>
              </w:rPr>
              <w:t>评标委员会组成</w:t>
            </w:r>
          </w:p>
        </w:tc>
        <w:tc>
          <w:tcPr>
            <w:tcW w:w="5771" w:type="dxa"/>
            <w:vAlign w:val="center"/>
          </w:tcPr>
          <w:p>
            <w:pPr>
              <w:spacing w:line="400" w:lineRule="exact"/>
              <w:rPr>
                <w:szCs w:val="21"/>
              </w:rPr>
            </w:pPr>
            <w:r>
              <w:rPr>
                <w:rFonts w:hint="eastAsia"/>
                <w:szCs w:val="21"/>
                <w:lang w:val="en-US"/>
              </w:rPr>
              <w:t>评标委员会由 5 名专家组成，均从政府采购专家库随机抽取产生。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Merge w:val="restart"/>
            <w:vAlign w:val="center"/>
          </w:tcPr>
          <w:p>
            <w:pPr>
              <w:spacing w:line="400" w:lineRule="exact"/>
              <w:jc w:val="center"/>
            </w:pPr>
            <w:r>
              <w:t>17</w:t>
            </w:r>
          </w:p>
        </w:tc>
        <w:tc>
          <w:tcPr>
            <w:tcW w:w="946" w:type="dxa"/>
            <w:vMerge w:val="restart"/>
            <w:vAlign w:val="center"/>
          </w:tcPr>
          <w:p>
            <w:pPr>
              <w:spacing w:line="400" w:lineRule="exact"/>
              <w:jc w:val="center"/>
              <w:rPr>
                <w:sz w:val="21"/>
              </w:rPr>
            </w:pPr>
            <w:r>
              <w:rPr>
                <w:rFonts w:hint="eastAsia"/>
                <w:sz w:val="21"/>
              </w:rPr>
              <w:t>38.2</w:t>
            </w:r>
          </w:p>
        </w:tc>
        <w:tc>
          <w:tcPr>
            <w:tcW w:w="1740" w:type="dxa"/>
            <w:vMerge w:val="restart"/>
            <w:vAlign w:val="center"/>
          </w:tcPr>
          <w:p>
            <w:pPr>
              <w:spacing w:line="400" w:lineRule="exact"/>
              <w:jc w:val="center"/>
              <w:rPr>
                <w:sz w:val="21"/>
              </w:rPr>
            </w:pPr>
            <w:r>
              <w:rPr>
                <w:rFonts w:hint="eastAsia"/>
                <w:sz w:val="21"/>
              </w:rPr>
              <w:t>中标候选人推荐方式</w:t>
            </w:r>
          </w:p>
        </w:tc>
        <w:tc>
          <w:tcPr>
            <w:tcW w:w="5771" w:type="dxa"/>
          </w:tcPr>
          <w:p>
            <w:pPr>
              <w:pStyle w:val="23"/>
              <w:spacing w:before="29" w:line="266" w:lineRule="auto"/>
              <w:ind w:left="109" w:right="94"/>
              <w:jc w:val="both"/>
              <w:rPr>
                <w:szCs w:val="21"/>
                <w:lang w:val="en-US"/>
              </w:rPr>
            </w:pPr>
            <w:r>
              <w:rPr>
                <w:szCs w:val="21"/>
                <w:lang w:val="en-US"/>
              </w:rPr>
              <w:t>评标委员会结合商务文件部分、技术文件部分和价格部分进行综合评估，将商务得分、技术得分和价格得分相加得出各入围投标人的综合得分。评标委员会编写书面的评标报告，按综合得分高低次序排出名次，并推荐综合得分排名第一的投标人为第一中标候选人，排名第二的投标人为第二中标候选人。</w:t>
            </w:r>
          </w:p>
          <w:p>
            <w:pPr>
              <w:pStyle w:val="23"/>
              <w:spacing w:before="6" w:line="266" w:lineRule="auto"/>
              <w:ind w:left="109" w:right="95"/>
              <w:rPr>
                <w:szCs w:val="21"/>
                <w:lang w:val="en-US"/>
              </w:rPr>
            </w:pPr>
            <w:r>
              <w:rPr>
                <w:szCs w:val="21"/>
                <w:lang w:val="en-US"/>
              </w:rPr>
              <w:t>综合得分相同的，名次按投标报价由低到高顺序排列；综合得分相同且投标报价相同的，名次按技术评分由高到低顺序排列；</w:t>
            </w:r>
          </w:p>
          <w:p>
            <w:pPr>
              <w:pStyle w:val="23"/>
              <w:spacing w:before="3"/>
              <w:ind w:left="109"/>
              <w:rPr>
                <w:szCs w:val="21"/>
                <w:lang w:val="en-US"/>
              </w:rPr>
            </w:pPr>
            <w:r>
              <w:rPr>
                <w:szCs w:val="21"/>
                <w:lang w:val="en-US"/>
              </w:rPr>
              <w:t>综合得分相同、投标报价和技术评分均相同的，名次由评标委员会抽签确定。</w:t>
            </w:r>
          </w:p>
          <w:p>
            <w:pPr>
              <w:pStyle w:val="23"/>
              <w:spacing w:before="31" w:line="250" w:lineRule="exact"/>
              <w:ind w:left="109"/>
              <w:rPr>
                <w:sz w:val="21"/>
              </w:rPr>
            </w:pPr>
            <w:r>
              <w:rPr>
                <w:szCs w:val="21"/>
                <w:lang w:val="en-US"/>
              </w:rPr>
              <w:t>法律法规有明确规定的，以法律法规规定为准。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42" w:type="dxa"/>
            <w:vMerge w:val="continue"/>
          </w:tcPr>
          <w:p>
            <w:pPr>
              <w:spacing w:line="400" w:lineRule="exact"/>
              <w:jc w:val="center"/>
            </w:pPr>
          </w:p>
        </w:tc>
        <w:tc>
          <w:tcPr>
            <w:tcW w:w="946" w:type="dxa"/>
            <w:vMerge w:val="continue"/>
          </w:tcPr>
          <w:p>
            <w:pPr>
              <w:spacing w:line="400" w:lineRule="exact"/>
              <w:jc w:val="center"/>
              <w:rPr>
                <w:sz w:val="21"/>
              </w:rPr>
            </w:pPr>
          </w:p>
        </w:tc>
        <w:tc>
          <w:tcPr>
            <w:tcW w:w="1740" w:type="dxa"/>
            <w:vMerge w:val="continue"/>
          </w:tcPr>
          <w:p>
            <w:pPr>
              <w:spacing w:line="400" w:lineRule="exact"/>
              <w:jc w:val="center"/>
              <w:rPr>
                <w:sz w:val="21"/>
              </w:rPr>
            </w:pPr>
          </w:p>
        </w:tc>
        <w:tc>
          <w:tcPr>
            <w:tcW w:w="5771" w:type="dxa"/>
          </w:tcPr>
          <w:p>
            <w:pPr>
              <w:pStyle w:val="23"/>
              <w:spacing w:before="116" w:line="266" w:lineRule="auto"/>
              <w:ind w:left="109" w:right="29"/>
              <w:rPr>
                <w:sz w:val="21"/>
              </w:rPr>
            </w:pPr>
            <w:r>
              <w:rPr>
                <w:sz w:val="21"/>
              </w:rPr>
              <w:t>若第二中标候选人报价高于第一中标候选人报价 20%以上的，只推荐 1 名中标候选人。第一中标候选人不得随意放弃中标资格。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3428" w:type="dxa"/>
            <w:gridSpan w:val="3"/>
            <w:vAlign w:val="center"/>
          </w:tcPr>
          <w:p>
            <w:pPr>
              <w:spacing w:line="400" w:lineRule="exact"/>
              <w:jc w:val="center"/>
              <w:rPr>
                <w:sz w:val="21"/>
              </w:rPr>
            </w:pPr>
            <w:r>
              <w:rPr>
                <w:sz w:val="21"/>
              </w:rPr>
              <w:t>信息发布媒体</w:t>
            </w:r>
          </w:p>
        </w:tc>
        <w:tc>
          <w:tcPr>
            <w:tcW w:w="5771" w:type="dxa"/>
            <w:vAlign w:val="center"/>
          </w:tcPr>
          <w:p>
            <w:pPr>
              <w:pStyle w:val="23"/>
              <w:spacing w:before="113"/>
              <w:ind w:left="108"/>
              <w:jc w:val="both"/>
              <w:rPr>
                <w:sz w:val="21"/>
              </w:rPr>
            </w:pPr>
            <w:r>
              <w:fldChar w:fldCharType="begin"/>
            </w:r>
            <w:r>
              <w:instrText xml:space="preserve"> HYPERLINK "http://www.ccgp.gov.cn/" \h </w:instrText>
            </w:r>
            <w:r>
              <w:fldChar w:fldCharType="separate"/>
            </w:r>
            <w:r>
              <w:rPr>
                <w:sz w:val="21"/>
              </w:rPr>
              <w:t>中国政府采购网（www.ccgp.gov.cn</w:t>
            </w:r>
            <w:r>
              <w:rPr>
                <w:sz w:val="21"/>
              </w:rPr>
              <w:fldChar w:fldCharType="end"/>
            </w:r>
            <w:r>
              <w:rPr>
                <w:sz w:val="21"/>
              </w:rPr>
              <w:t>）</w:t>
            </w:r>
          </w:p>
          <w:p>
            <w:pPr>
              <w:pStyle w:val="23"/>
              <w:spacing w:before="113"/>
              <w:ind w:left="108"/>
              <w:jc w:val="both"/>
              <w:rPr>
                <w:sz w:val="21"/>
                <w:lang w:val="en-US"/>
              </w:rPr>
            </w:pPr>
            <w:r>
              <w:rPr>
                <w:rFonts w:hint="eastAsia"/>
                <w:sz w:val="21"/>
                <w:lang w:val="en-US"/>
              </w:rPr>
              <w:t>采购与招标网（https://www.chinabidding.cn）</w:t>
            </w:r>
          </w:p>
          <w:p>
            <w:pPr>
              <w:pStyle w:val="23"/>
              <w:spacing w:before="116" w:line="266" w:lineRule="auto"/>
              <w:ind w:left="109" w:right="29"/>
              <w:jc w:val="both"/>
              <w:rPr>
                <w:sz w:val="21"/>
                <w:lang w:val="en-US"/>
              </w:rPr>
            </w:pPr>
            <w:r>
              <w:fldChar w:fldCharType="begin"/>
            </w:r>
            <w:r>
              <w:instrText xml:space="preserve"> HYPERLINK "http://www.youde.net/" \h </w:instrText>
            </w:r>
            <w:r>
              <w:fldChar w:fldCharType="separate"/>
            </w:r>
            <w:r>
              <w:rPr>
                <w:rFonts w:hint="eastAsia"/>
                <w:sz w:val="21"/>
              </w:rPr>
              <w:t>中达安股份有限公司</w:t>
            </w:r>
            <w:r>
              <w:rPr>
                <w:sz w:val="21"/>
              </w:rPr>
              <w:t>网站</w:t>
            </w:r>
            <w:r>
              <w:rPr>
                <w:sz w:val="21"/>
                <w:lang w:val="en-US"/>
              </w:rPr>
              <w:t>（</w:t>
            </w:r>
            <w:r>
              <w:rPr>
                <w:rFonts w:hint="eastAsia"/>
                <w:sz w:val="21"/>
                <w:lang w:val="en-US"/>
              </w:rPr>
              <w:t>http://www.gddaan.com</w:t>
            </w:r>
            <w:r>
              <w:rPr>
                <w:rFonts w:hint="eastAsia"/>
                <w:sz w:val="21"/>
                <w:lang w:val="en-US"/>
              </w:rPr>
              <w:fldChar w:fldCharType="end"/>
            </w:r>
            <w:r>
              <w:rPr>
                <w:sz w:val="21"/>
                <w:lang w:val="en-US"/>
              </w:rPr>
              <w:t>）</w:t>
            </w:r>
          </w:p>
        </w:tc>
      </w:tr>
    </w:tbl>
    <w:p>
      <w:pPr>
        <w:pStyle w:val="12"/>
        <w:spacing w:before="5"/>
        <w:rPr>
          <w:rFonts w:ascii="Times New Roman"/>
          <w:lang w:val="en-US"/>
        </w:rPr>
      </w:pPr>
    </w:p>
    <w:p>
      <w:pPr>
        <w:rPr>
          <w:lang w:val="en-US"/>
        </w:rPr>
      </w:pPr>
      <w:bookmarkStart w:id="7" w:name="_Toc385940877"/>
      <w:bookmarkStart w:id="8" w:name="_Toc7845"/>
      <w:r>
        <w:rPr>
          <w:rFonts w:hint="eastAsia"/>
          <w:lang w:val="en-US"/>
        </w:rPr>
        <w:br w:type="page"/>
      </w:r>
    </w:p>
    <w:p>
      <w:pPr>
        <w:pStyle w:val="4"/>
        <w:numPr>
          <w:ilvl w:val="0"/>
          <w:numId w:val="1"/>
        </w:numPr>
        <w:ind w:firstLine="482"/>
      </w:pPr>
      <w:r>
        <w:rPr>
          <w:rFonts w:hint="eastAsia"/>
        </w:rPr>
        <w:t>总则</w:t>
      </w:r>
      <w:bookmarkEnd w:id="7"/>
      <w:bookmarkEnd w:id="8"/>
    </w:p>
    <w:p>
      <w:pPr>
        <w:numPr>
          <w:ilvl w:val="3"/>
          <w:numId w:val="2"/>
        </w:numPr>
        <w:tabs>
          <w:tab w:val="center" w:pos="210"/>
          <w:tab w:val="center" w:pos="420"/>
          <w:tab w:val="center" w:pos="630"/>
        </w:tabs>
        <w:spacing w:line="360" w:lineRule="auto"/>
        <w:outlineLvl w:val="2"/>
        <w:rPr>
          <w:b/>
          <w:bCs/>
        </w:rPr>
      </w:pPr>
      <w:r>
        <w:rPr>
          <w:rFonts w:hint="eastAsia"/>
          <w:b/>
          <w:bCs/>
        </w:rPr>
        <w:t>说明</w:t>
      </w:r>
    </w:p>
    <w:p>
      <w:pPr>
        <w:numPr>
          <w:ilvl w:val="1"/>
          <w:numId w:val="3"/>
        </w:numPr>
        <w:spacing w:line="360" w:lineRule="auto"/>
      </w:pPr>
      <w:r>
        <w:rPr>
          <w:rFonts w:hint="eastAsia"/>
        </w:rPr>
        <w:t>本招标文件适用于本投标邀请中所述项目的政府采购。</w:t>
      </w:r>
    </w:p>
    <w:p>
      <w:pPr>
        <w:numPr>
          <w:ilvl w:val="1"/>
          <w:numId w:val="3"/>
        </w:numPr>
        <w:spacing w:line="360" w:lineRule="auto"/>
      </w:pPr>
      <w:r>
        <w:rPr>
          <w:rFonts w:hint="eastAsia"/>
        </w:rPr>
        <w:t>资金来源：详见《投标须知前附表》。</w:t>
      </w:r>
    </w:p>
    <w:p>
      <w:pPr>
        <w:numPr>
          <w:ilvl w:val="3"/>
          <w:numId w:val="2"/>
        </w:numPr>
        <w:tabs>
          <w:tab w:val="center" w:pos="210"/>
          <w:tab w:val="center" w:pos="420"/>
          <w:tab w:val="center" w:pos="630"/>
        </w:tabs>
        <w:spacing w:line="360" w:lineRule="auto"/>
        <w:outlineLvl w:val="2"/>
        <w:rPr>
          <w:b/>
          <w:bCs/>
        </w:rPr>
      </w:pPr>
      <w:r>
        <w:rPr>
          <w:rFonts w:hint="eastAsia"/>
          <w:b/>
          <w:bCs/>
        </w:rPr>
        <w:t>定义</w:t>
      </w:r>
    </w:p>
    <w:p>
      <w:pPr>
        <w:numPr>
          <w:ilvl w:val="0"/>
          <w:numId w:val="4"/>
        </w:numPr>
        <w:spacing w:line="360" w:lineRule="auto"/>
      </w:pPr>
      <w:r>
        <w:rPr>
          <w:rFonts w:hint="eastAsia"/>
        </w:rPr>
        <w:t>“采购人”是指：详见《投标须知前附表》。</w:t>
      </w:r>
    </w:p>
    <w:p>
      <w:pPr>
        <w:numPr>
          <w:ilvl w:val="0"/>
          <w:numId w:val="4"/>
        </w:numPr>
        <w:spacing w:line="360" w:lineRule="auto"/>
      </w:pPr>
      <w:r>
        <w:rPr>
          <w:rFonts w:hint="eastAsia"/>
        </w:rPr>
        <w:t>“监管部门”是指：政府采购管理部门。</w:t>
      </w:r>
    </w:p>
    <w:p>
      <w:pPr>
        <w:numPr>
          <w:ilvl w:val="0"/>
          <w:numId w:val="4"/>
        </w:numPr>
        <w:spacing w:line="360" w:lineRule="auto"/>
      </w:pPr>
      <w:r>
        <w:rPr>
          <w:rFonts w:hint="eastAsia"/>
        </w:rPr>
        <w:t>“采购代理机构”是指：中达安股份有限公司。</w:t>
      </w:r>
    </w:p>
    <w:p>
      <w:pPr>
        <w:numPr>
          <w:ilvl w:val="0"/>
          <w:numId w:val="4"/>
        </w:numPr>
        <w:spacing w:line="360" w:lineRule="auto"/>
      </w:pPr>
      <w:r>
        <w:rPr>
          <w:rFonts w:hint="eastAsia"/>
        </w:rPr>
        <w:t>合格的投标人是指按照要求递交了投标文件，并满足投标邀请函二、投标人的资格要求。</w:t>
      </w:r>
    </w:p>
    <w:p>
      <w:pPr>
        <w:numPr>
          <w:ilvl w:val="0"/>
          <w:numId w:val="4"/>
        </w:numPr>
        <w:spacing w:line="360" w:lineRule="auto"/>
      </w:pPr>
      <w:r>
        <w:rPr>
          <w:rFonts w:hint="eastAsia"/>
        </w:rPr>
        <w:t>“中标人”是指经法定程序确定并授予合同的投标人。</w:t>
      </w:r>
    </w:p>
    <w:p>
      <w:pPr>
        <w:numPr>
          <w:ilvl w:val="0"/>
          <w:numId w:val="4"/>
        </w:numPr>
        <w:spacing w:line="360" w:lineRule="auto"/>
      </w:pPr>
      <w:r>
        <w:rPr>
          <w:rFonts w:hint="eastAsia"/>
        </w:rPr>
        <w:t>“甲方”是指采购人。</w:t>
      </w:r>
    </w:p>
    <w:p>
      <w:pPr>
        <w:numPr>
          <w:ilvl w:val="0"/>
          <w:numId w:val="4"/>
        </w:numPr>
        <w:spacing w:line="360" w:lineRule="auto"/>
      </w:pPr>
      <w:r>
        <w:rPr>
          <w:rFonts w:hint="eastAsia"/>
        </w:rPr>
        <w:t>“乙方”是指中标人。</w:t>
      </w:r>
    </w:p>
    <w:p>
      <w:pPr>
        <w:numPr>
          <w:ilvl w:val="3"/>
          <w:numId w:val="2"/>
        </w:numPr>
        <w:tabs>
          <w:tab w:val="center" w:pos="210"/>
          <w:tab w:val="center" w:pos="420"/>
          <w:tab w:val="center" w:pos="630"/>
        </w:tabs>
        <w:spacing w:line="360" w:lineRule="auto"/>
        <w:outlineLvl w:val="2"/>
        <w:rPr>
          <w:b/>
          <w:bCs/>
        </w:rPr>
      </w:pPr>
      <w:r>
        <w:rPr>
          <w:rFonts w:hint="eastAsia"/>
          <w:b/>
          <w:bCs/>
        </w:rPr>
        <w:t>遵循原则</w:t>
      </w:r>
    </w:p>
    <w:p>
      <w:pPr>
        <w:numPr>
          <w:ilvl w:val="0"/>
          <w:numId w:val="5"/>
        </w:numPr>
        <w:spacing w:line="360" w:lineRule="auto"/>
      </w:pPr>
      <w:r>
        <w:rPr>
          <w:rFonts w:hint="eastAsia"/>
        </w:rPr>
        <w:t>遵循公开透明原则、公平竞争原则、公正原则和诚实信用原则。</w:t>
      </w:r>
    </w:p>
    <w:p>
      <w:pPr>
        <w:numPr>
          <w:ilvl w:val="3"/>
          <w:numId w:val="2"/>
        </w:numPr>
        <w:tabs>
          <w:tab w:val="center" w:pos="210"/>
          <w:tab w:val="center" w:pos="420"/>
          <w:tab w:val="center" w:pos="630"/>
        </w:tabs>
        <w:spacing w:line="360" w:lineRule="auto"/>
        <w:outlineLvl w:val="2"/>
        <w:rPr>
          <w:b/>
          <w:bCs/>
        </w:rPr>
      </w:pPr>
      <w:r>
        <w:rPr>
          <w:rFonts w:hint="eastAsia"/>
          <w:b/>
          <w:bCs/>
        </w:rPr>
        <w:t>合格的货物和服务</w:t>
      </w:r>
    </w:p>
    <w:p>
      <w:pPr>
        <w:numPr>
          <w:ilvl w:val="0"/>
          <w:numId w:val="6"/>
        </w:numPr>
        <w:spacing w:line="360" w:lineRule="auto"/>
      </w:pPr>
      <w:r>
        <w:rPr>
          <w:rFonts w:hint="eastAsia"/>
        </w:rPr>
        <w:t>“货物”是指投标人制造或组织符合招标文件要求的货物等。招标文件中没有提及招标货物来源地的，根据《中华人民共和国政府采购法》的相关规定均应是本国货物，优先采购节能、环保产品。投标的货物必须是其合法生产的符合国家有关标准要求的货物，并满足政府招标文件规定的规格、参数、质量、价格、有效期、售后服务等要求。</w:t>
      </w:r>
    </w:p>
    <w:p>
      <w:pPr>
        <w:numPr>
          <w:ilvl w:val="0"/>
          <w:numId w:val="6"/>
        </w:numPr>
        <w:spacing w:line="360" w:lineRule="auto"/>
      </w:pPr>
      <w:r>
        <w:rPr>
          <w:rFonts w:hint="eastAsia"/>
        </w:rPr>
        <w:t>“服务”是指除货物和工程以外的其他政府采购对象，其中包括：投标人须承担的运输、安装、技术支持、培训以及招标文件规定的其它服务。</w:t>
      </w:r>
    </w:p>
    <w:p>
      <w:pPr>
        <w:numPr>
          <w:ilvl w:val="0"/>
          <w:numId w:val="6"/>
        </w:numPr>
        <w:tabs>
          <w:tab w:val="left" w:pos="525"/>
        </w:tabs>
        <w:spacing w:line="360" w:lineRule="auto"/>
        <w:rPr>
          <w:szCs w:val="21"/>
        </w:rPr>
      </w:pPr>
      <w:r>
        <w:rPr>
          <w:rFonts w:hint="eastAsia"/>
        </w:rPr>
        <w:t>政府采购应当采购本国产品，确需采购进口产品的，</w:t>
      </w:r>
      <w:r>
        <w:rPr>
          <w:rFonts w:hint="eastAsia"/>
          <w:szCs w:val="21"/>
        </w:rPr>
        <w:t>依据《政府采购进口产品管理办法》</w:t>
      </w:r>
      <w:r>
        <w:rPr>
          <w:rFonts w:hint="eastAsia"/>
        </w:rPr>
        <w:t>实行审核管理，</w:t>
      </w:r>
      <w:r>
        <w:rPr>
          <w:rFonts w:hint="eastAsia"/>
          <w:szCs w:val="21"/>
        </w:rPr>
        <w:t>优先采购向我国企业转让技术、与我国企业签订消化吸收再创新方案的供应商的进口产品。</w:t>
      </w:r>
      <w:r>
        <w:rPr>
          <w:rFonts w:hint="eastAsia"/>
        </w:rPr>
        <w:t>进口产品是指通过中国海关报关验放进入中国境内且产自关境外的产品</w:t>
      </w:r>
      <w:r>
        <w:rPr>
          <w:rFonts w:hint="eastAsia"/>
          <w:szCs w:val="21"/>
        </w:rPr>
        <w:t>。</w:t>
      </w:r>
    </w:p>
    <w:p>
      <w:pPr>
        <w:numPr>
          <w:ilvl w:val="3"/>
          <w:numId w:val="2"/>
        </w:numPr>
        <w:tabs>
          <w:tab w:val="center" w:pos="210"/>
          <w:tab w:val="center" w:pos="420"/>
          <w:tab w:val="center" w:pos="630"/>
        </w:tabs>
        <w:spacing w:line="360" w:lineRule="auto"/>
        <w:outlineLvl w:val="2"/>
        <w:rPr>
          <w:b/>
          <w:bCs/>
        </w:rPr>
      </w:pPr>
      <w:r>
        <w:rPr>
          <w:rFonts w:hint="eastAsia"/>
          <w:b/>
          <w:bCs/>
        </w:rPr>
        <w:t>投标费用</w:t>
      </w:r>
    </w:p>
    <w:p>
      <w:pPr>
        <w:numPr>
          <w:ilvl w:val="0"/>
          <w:numId w:val="7"/>
        </w:numPr>
        <w:spacing w:line="360" w:lineRule="auto"/>
      </w:pPr>
      <w:r>
        <w:rPr>
          <w:rFonts w:hint="eastAsia"/>
        </w:rPr>
        <w:t>投标人应承担所有与准备和参加投标有关的费用。不论投标的结果如何，采购代理机构和采购人均无义务和责任承担这些费用。</w:t>
      </w:r>
    </w:p>
    <w:p>
      <w:pPr>
        <w:numPr>
          <w:ilvl w:val="0"/>
          <w:numId w:val="7"/>
        </w:numPr>
        <w:spacing w:line="360" w:lineRule="auto"/>
      </w:pPr>
      <w:r>
        <w:rPr>
          <w:rFonts w:hint="eastAsia"/>
        </w:rPr>
        <w:t>招标代理服务费</w:t>
      </w:r>
    </w:p>
    <w:p>
      <w:pPr>
        <w:numPr>
          <w:ilvl w:val="0"/>
          <w:numId w:val="8"/>
        </w:numPr>
        <w:tabs>
          <w:tab w:val="left" w:pos="840"/>
        </w:tabs>
        <w:spacing w:line="360" w:lineRule="auto"/>
        <w:ind w:left="840" w:hanging="727"/>
      </w:pPr>
      <w:r>
        <w:rPr>
          <w:rFonts w:hint="eastAsia"/>
        </w:rPr>
        <w:t>本次招标代理服务费由《投标须知前附表》中所述的交纳人及交纳金额向采购代理机构一次性交纳。</w:t>
      </w:r>
    </w:p>
    <w:p>
      <w:pPr>
        <w:numPr>
          <w:ilvl w:val="0"/>
          <w:numId w:val="8"/>
        </w:numPr>
        <w:tabs>
          <w:tab w:val="left" w:pos="945"/>
        </w:tabs>
        <w:spacing w:line="360" w:lineRule="auto"/>
      </w:pPr>
      <w:r>
        <w:rPr>
          <w:rFonts w:hint="eastAsia"/>
        </w:rPr>
        <w:t>招标代理服务费币种：人民币。</w:t>
      </w:r>
    </w:p>
    <w:p>
      <w:pPr>
        <w:numPr>
          <w:ilvl w:val="3"/>
          <w:numId w:val="2"/>
        </w:numPr>
        <w:tabs>
          <w:tab w:val="center" w:pos="210"/>
          <w:tab w:val="center" w:pos="420"/>
          <w:tab w:val="center" w:pos="630"/>
        </w:tabs>
        <w:spacing w:line="360" w:lineRule="auto"/>
        <w:outlineLvl w:val="2"/>
        <w:rPr>
          <w:b/>
          <w:bCs/>
        </w:rPr>
      </w:pPr>
      <w:bookmarkStart w:id="9" w:name="_Toc134956121"/>
      <w:r>
        <w:rPr>
          <w:rFonts w:hint="eastAsia"/>
          <w:b/>
          <w:bCs/>
        </w:rPr>
        <w:t>知识产权</w:t>
      </w:r>
      <w:bookmarkEnd w:id="9"/>
    </w:p>
    <w:p>
      <w:pPr>
        <w:numPr>
          <w:ilvl w:val="0"/>
          <w:numId w:val="9"/>
        </w:numPr>
        <w:spacing w:line="360" w:lineRule="auto"/>
      </w:pPr>
      <w:r>
        <w:rPr>
          <w:rFonts w:hint="eastAsia"/>
        </w:rPr>
        <w:t>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numPr>
          <w:ilvl w:val="0"/>
          <w:numId w:val="9"/>
        </w:numPr>
        <w:spacing w:line="360" w:lineRule="auto"/>
      </w:pPr>
      <w:r>
        <w:rPr>
          <w:rFonts w:hint="eastAsia"/>
        </w:rPr>
        <w:t>投标报价应包含所有应向所有权人支付的专利权、商标权或其它知识产权的一切相关费用。</w:t>
      </w:r>
    </w:p>
    <w:p>
      <w:pPr>
        <w:numPr>
          <w:ilvl w:val="0"/>
          <w:numId w:val="9"/>
        </w:numPr>
        <w:spacing w:line="360" w:lineRule="auto"/>
      </w:pPr>
      <w:r>
        <w:rPr>
          <w:rFonts w:hint="eastAsia"/>
        </w:rPr>
        <w:t>系统软件、通用软件必须是具有在中国境内的合法使用权或版权的正版软件，涉及到第三方提出侵权或知识产权的起诉及支付版税等费用由投标人承担所有责任及费用。</w:t>
      </w:r>
    </w:p>
    <w:p>
      <w:pPr>
        <w:numPr>
          <w:ilvl w:val="3"/>
          <w:numId w:val="2"/>
        </w:numPr>
        <w:tabs>
          <w:tab w:val="center" w:pos="210"/>
          <w:tab w:val="center" w:pos="420"/>
          <w:tab w:val="center" w:pos="630"/>
        </w:tabs>
        <w:spacing w:line="360" w:lineRule="auto"/>
        <w:outlineLvl w:val="2"/>
        <w:rPr>
          <w:b/>
          <w:bCs/>
        </w:rPr>
      </w:pPr>
      <w:bookmarkStart w:id="10" w:name="_Toc50276142"/>
      <w:bookmarkStart w:id="11" w:name="_Toc101771361"/>
      <w:bookmarkStart w:id="12" w:name="_Toc98578996"/>
      <w:bookmarkStart w:id="13" w:name="_Toc98579054"/>
      <w:bookmarkStart w:id="14" w:name="_Toc98579595"/>
      <w:bookmarkStart w:id="15" w:name="_Toc41884688"/>
      <w:bookmarkStart w:id="16" w:name="_Toc101775114"/>
      <w:bookmarkStart w:id="17" w:name="_Toc101951247"/>
      <w:bookmarkStart w:id="18" w:name="_Toc101843114"/>
      <w:bookmarkStart w:id="19" w:name="_Toc41723918"/>
      <w:bookmarkStart w:id="20" w:name="_Toc98580278"/>
      <w:bookmarkStart w:id="21" w:name="_Toc42394658"/>
      <w:bookmarkStart w:id="22" w:name="_Toc42394501"/>
      <w:bookmarkStart w:id="23" w:name="_Toc134956122"/>
      <w:bookmarkStart w:id="24" w:name="_Toc42313156"/>
      <w:r>
        <w:rPr>
          <w:rFonts w:hint="eastAsia"/>
          <w:b/>
          <w:bCs/>
        </w:rPr>
        <w:t>纪律与保密事项</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numPr>
          <w:ilvl w:val="0"/>
          <w:numId w:val="10"/>
        </w:numPr>
        <w:spacing w:line="360" w:lineRule="auto"/>
        <w:ind w:left="420" w:hanging="307"/>
      </w:pPr>
      <w:r>
        <w:rPr>
          <w:rFonts w:hint="eastAsia"/>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numPr>
          <w:ilvl w:val="0"/>
          <w:numId w:val="10"/>
        </w:numPr>
        <w:spacing w:line="360" w:lineRule="auto"/>
        <w:ind w:left="420" w:hanging="307"/>
      </w:pPr>
      <w:r>
        <w:rPr>
          <w:rFonts w:hint="eastAsia"/>
          <w:szCs w:val="21"/>
        </w:rPr>
        <w:t>有下列情形之一的，视为投标人串通投标，其投标无效：</w:t>
      </w:r>
    </w:p>
    <w:p>
      <w:pPr>
        <w:numPr>
          <w:ilvl w:val="0"/>
          <w:numId w:val="11"/>
        </w:numPr>
        <w:spacing w:line="360" w:lineRule="auto"/>
        <w:ind w:left="420" w:firstLine="0"/>
        <w:rPr>
          <w:szCs w:val="21"/>
        </w:rPr>
      </w:pPr>
      <w:r>
        <w:rPr>
          <w:rFonts w:hint="eastAsia"/>
          <w:szCs w:val="21"/>
        </w:rPr>
        <w:t>不同投标人的投标文件由同一单位或者个人编制；</w:t>
      </w:r>
    </w:p>
    <w:p>
      <w:pPr>
        <w:numPr>
          <w:ilvl w:val="0"/>
          <w:numId w:val="11"/>
        </w:numPr>
        <w:spacing w:line="360" w:lineRule="auto"/>
        <w:ind w:hanging="147"/>
        <w:rPr>
          <w:szCs w:val="21"/>
        </w:rPr>
      </w:pPr>
      <w:r>
        <w:rPr>
          <w:rFonts w:hint="eastAsia"/>
          <w:szCs w:val="21"/>
        </w:rPr>
        <w:t>不同投标人委托同一单位或者个人办理投标事宜；</w:t>
      </w:r>
    </w:p>
    <w:p>
      <w:pPr>
        <w:numPr>
          <w:ilvl w:val="0"/>
          <w:numId w:val="11"/>
        </w:numPr>
        <w:spacing w:line="360" w:lineRule="auto"/>
        <w:ind w:hanging="147"/>
        <w:rPr>
          <w:szCs w:val="21"/>
        </w:rPr>
      </w:pPr>
      <w:r>
        <w:rPr>
          <w:rFonts w:hint="eastAsia"/>
          <w:szCs w:val="21"/>
        </w:rPr>
        <w:t>不同投标人的投标文件载明的项目管理成员或者联系人员为同一人；</w:t>
      </w:r>
    </w:p>
    <w:p>
      <w:pPr>
        <w:numPr>
          <w:ilvl w:val="0"/>
          <w:numId w:val="11"/>
        </w:numPr>
        <w:spacing w:line="360" w:lineRule="auto"/>
        <w:ind w:hanging="147"/>
        <w:rPr>
          <w:szCs w:val="21"/>
        </w:rPr>
      </w:pPr>
      <w:r>
        <w:rPr>
          <w:rFonts w:hint="eastAsia"/>
          <w:szCs w:val="21"/>
        </w:rPr>
        <w:t>不同投标人的投标文件异常一致或者投标报价呈规律性差异；</w:t>
      </w:r>
    </w:p>
    <w:p>
      <w:pPr>
        <w:numPr>
          <w:ilvl w:val="0"/>
          <w:numId w:val="11"/>
        </w:numPr>
        <w:spacing w:line="360" w:lineRule="auto"/>
        <w:ind w:hanging="147"/>
        <w:rPr>
          <w:szCs w:val="21"/>
        </w:rPr>
      </w:pPr>
      <w:r>
        <w:rPr>
          <w:rFonts w:hint="eastAsia"/>
          <w:szCs w:val="21"/>
        </w:rPr>
        <w:t>不同投标人的投标文件相互混装；</w:t>
      </w:r>
    </w:p>
    <w:p>
      <w:pPr>
        <w:numPr>
          <w:ilvl w:val="0"/>
          <w:numId w:val="11"/>
        </w:numPr>
        <w:spacing w:line="360" w:lineRule="auto"/>
        <w:ind w:hanging="147"/>
      </w:pPr>
      <w:r>
        <w:rPr>
          <w:rFonts w:hint="eastAsia"/>
          <w:szCs w:val="21"/>
        </w:rPr>
        <w:t>不同投标人的投标保证金从同一单位或者个人的账户转出。</w:t>
      </w:r>
    </w:p>
    <w:p>
      <w:pPr>
        <w:numPr>
          <w:ilvl w:val="0"/>
          <w:numId w:val="10"/>
        </w:numPr>
        <w:spacing w:line="360" w:lineRule="auto"/>
        <w:ind w:left="420" w:hanging="307"/>
      </w:pPr>
      <w:r>
        <w:rPr>
          <w:rFonts w:hint="eastAsia"/>
        </w:rPr>
        <w:t>获得本招标文件者，不得将招标文件用作本次投标以外的任何用途。如有要求，开标后，投标人应归还招标文件中的保密文件和资料。</w:t>
      </w:r>
    </w:p>
    <w:p>
      <w:pPr>
        <w:numPr>
          <w:ilvl w:val="0"/>
          <w:numId w:val="10"/>
        </w:numPr>
        <w:spacing w:line="360" w:lineRule="auto"/>
        <w:ind w:left="420" w:hanging="307"/>
      </w:pPr>
      <w:r>
        <w:rPr>
          <w:rFonts w:hint="eastAsia"/>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numPr>
          <w:ilvl w:val="3"/>
          <w:numId w:val="2"/>
        </w:numPr>
        <w:tabs>
          <w:tab w:val="center" w:pos="210"/>
          <w:tab w:val="center" w:pos="420"/>
          <w:tab w:val="center" w:pos="630"/>
        </w:tabs>
        <w:spacing w:line="360" w:lineRule="auto"/>
        <w:outlineLvl w:val="2"/>
        <w:rPr>
          <w:b/>
          <w:bCs/>
        </w:rPr>
      </w:pPr>
      <w:r>
        <w:rPr>
          <w:rFonts w:hint="eastAsia"/>
          <w:b/>
          <w:bCs/>
        </w:rPr>
        <w:t>关于关联企业</w:t>
      </w:r>
    </w:p>
    <w:p>
      <w:pPr>
        <w:numPr>
          <w:ilvl w:val="0"/>
          <w:numId w:val="12"/>
        </w:numPr>
        <w:spacing w:line="360" w:lineRule="auto"/>
        <w:ind w:left="420" w:hanging="307"/>
      </w:pPr>
      <w:r>
        <w:rPr>
          <w:rFonts w:hint="eastAsia"/>
        </w:rPr>
        <w:t>单位负责人为同一人或者存在</w:t>
      </w:r>
      <w:r>
        <w:rPr>
          <w:rFonts w:hint="eastAsia"/>
          <w:b/>
        </w:rPr>
        <w:t>直接控股、管理关系</w:t>
      </w:r>
      <w:r>
        <w:rPr>
          <w:rFonts w:hint="eastAsia"/>
        </w:rPr>
        <w:t>的不同供应商，不得参加同一合同项下的政府采购活动。</w:t>
      </w:r>
    </w:p>
    <w:p>
      <w:pPr>
        <w:numPr>
          <w:ilvl w:val="0"/>
          <w:numId w:val="12"/>
        </w:numPr>
        <w:spacing w:line="360" w:lineRule="auto"/>
      </w:pPr>
      <w:r>
        <w:t>除单一来源采购项目外，为采购项目提供整体设计、规范编制或者项目管理、监理、检测等服务的供应商，不得再参加该采购项目的其他采购活动。</w:t>
      </w:r>
    </w:p>
    <w:p>
      <w:pPr>
        <w:numPr>
          <w:ilvl w:val="3"/>
          <w:numId w:val="2"/>
        </w:numPr>
        <w:tabs>
          <w:tab w:val="center" w:pos="210"/>
          <w:tab w:val="center" w:pos="420"/>
          <w:tab w:val="center" w:pos="630"/>
        </w:tabs>
        <w:spacing w:line="360" w:lineRule="auto"/>
        <w:outlineLvl w:val="2"/>
        <w:rPr>
          <w:b/>
          <w:bCs/>
        </w:rPr>
      </w:pPr>
      <w:r>
        <w:rPr>
          <w:rFonts w:hint="eastAsia"/>
          <w:b/>
          <w:bCs/>
        </w:rPr>
        <w:t>关于分公司投标</w:t>
      </w:r>
    </w:p>
    <w:p>
      <w:pPr>
        <w:numPr>
          <w:ilvl w:val="0"/>
          <w:numId w:val="13"/>
        </w:numPr>
        <w:spacing w:line="360" w:lineRule="auto"/>
        <w:ind w:left="420" w:hanging="307"/>
      </w:pPr>
      <w:r>
        <w:rPr>
          <w:rFonts w:hint="eastAsia"/>
        </w:rPr>
        <w:t>分公司投标的，需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pPr>
        <w:numPr>
          <w:ilvl w:val="3"/>
          <w:numId w:val="2"/>
        </w:numPr>
        <w:tabs>
          <w:tab w:val="center" w:pos="210"/>
          <w:tab w:val="center" w:pos="420"/>
          <w:tab w:val="center" w:pos="630"/>
        </w:tabs>
        <w:spacing w:line="360" w:lineRule="auto"/>
        <w:outlineLvl w:val="2"/>
        <w:rPr>
          <w:b/>
          <w:bCs/>
        </w:rPr>
      </w:pPr>
      <w:r>
        <w:rPr>
          <w:rFonts w:hint="eastAsia"/>
          <w:b/>
          <w:bCs/>
        </w:rPr>
        <w:t>现场考察</w:t>
      </w:r>
    </w:p>
    <w:p>
      <w:pPr>
        <w:numPr>
          <w:ilvl w:val="0"/>
          <w:numId w:val="14"/>
        </w:numPr>
        <w:spacing w:line="360" w:lineRule="auto"/>
      </w:pPr>
      <w:r>
        <w:rPr>
          <w:rFonts w:hint="eastAsia"/>
        </w:rPr>
        <w:t>投标人应按《投标须知前附表》所述时间和要求对项目现场进行考察或自行对项目现场进行考察。</w:t>
      </w:r>
    </w:p>
    <w:p>
      <w:pPr>
        <w:numPr>
          <w:ilvl w:val="0"/>
          <w:numId w:val="14"/>
        </w:numPr>
        <w:spacing w:line="360" w:lineRule="auto"/>
      </w:pPr>
      <w:r>
        <w:rPr>
          <w:rFonts w:hint="eastAsia"/>
        </w:rPr>
        <w:t>投标人对项目现场及周围环境进行考察，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numPr>
          <w:ilvl w:val="0"/>
          <w:numId w:val="14"/>
        </w:numPr>
        <w:spacing w:line="360" w:lineRule="auto"/>
      </w:pPr>
      <w:r>
        <w:rPr>
          <w:rFonts w:hint="eastAsia"/>
        </w:rPr>
        <w:t>采购人若向投标人提供的有关现场的数据和资料，是采购人现有的能被投标人利用的资料，采购人对投标人做出的任何推论、理解和结论均不负责任。</w:t>
      </w:r>
    </w:p>
    <w:p>
      <w:pPr>
        <w:numPr>
          <w:ilvl w:val="0"/>
          <w:numId w:val="14"/>
        </w:numPr>
        <w:spacing w:line="360" w:lineRule="auto"/>
      </w:pPr>
      <w:r>
        <w:rPr>
          <w:rFonts w:hint="eastAsia"/>
        </w:rPr>
        <w:t>经采购人允许，投标人可为考察目的进入采购人的项目现场。在考察过程中，投标人及其代表必须承担那些进入现场后，由于他们的行为所造成的人身伤害（不管是否致命）、财产损失或损坏，以及其他任何原因造成的损失、损坏或费用。投标人不得因此使采购人承担有关的责任和蒙受损失。</w:t>
      </w:r>
    </w:p>
    <w:p>
      <w:pPr>
        <w:pStyle w:val="4"/>
        <w:numPr>
          <w:ilvl w:val="0"/>
          <w:numId w:val="1"/>
        </w:numPr>
        <w:spacing w:before="240"/>
        <w:ind w:firstLine="482"/>
      </w:pPr>
      <w:bookmarkStart w:id="25" w:name="_Toc385940878"/>
      <w:bookmarkStart w:id="26" w:name="_Toc10213"/>
      <w:r>
        <w:rPr>
          <w:rFonts w:hint="eastAsia"/>
        </w:rPr>
        <w:t>招 标 文 件</w:t>
      </w:r>
      <w:bookmarkEnd w:id="25"/>
      <w:bookmarkEnd w:id="26"/>
    </w:p>
    <w:p>
      <w:pPr>
        <w:numPr>
          <w:ilvl w:val="3"/>
          <w:numId w:val="2"/>
        </w:numPr>
        <w:tabs>
          <w:tab w:val="center" w:pos="210"/>
          <w:tab w:val="center" w:pos="420"/>
          <w:tab w:val="center" w:pos="630"/>
        </w:tabs>
        <w:spacing w:line="360" w:lineRule="auto"/>
        <w:outlineLvl w:val="2"/>
        <w:rPr>
          <w:b/>
          <w:bCs/>
        </w:rPr>
      </w:pPr>
      <w:r>
        <w:rPr>
          <w:rFonts w:hint="eastAsia"/>
          <w:b/>
          <w:bCs/>
        </w:rPr>
        <w:t>招标文件的组成</w:t>
      </w:r>
    </w:p>
    <w:p>
      <w:pPr>
        <w:numPr>
          <w:ilvl w:val="0"/>
          <w:numId w:val="15"/>
        </w:numPr>
        <w:spacing w:line="360" w:lineRule="auto"/>
      </w:pPr>
      <w:r>
        <w:rPr>
          <w:rFonts w:hint="eastAsia"/>
        </w:rPr>
        <w:t>招标文件包括：</w:t>
      </w:r>
    </w:p>
    <w:p>
      <w:pPr>
        <w:tabs>
          <w:tab w:val="left" w:pos="945"/>
        </w:tabs>
        <w:spacing w:line="360" w:lineRule="auto"/>
        <w:ind w:firstLine="660" w:firstLineChars="300"/>
      </w:pPr>
      <w:r>
        <w:rPr>
          <w:rFonts w:hint="eastAsia"/>
        </w:rPr>
        <w:t>第一章  投标邀请函</w:t>
      </w:r>
    </w:p>
    <w:p>
      <w:pPr>
        <w:tabs>
          <w:tab w:val="left" w:pos="945"/>
        </w:tabs>
        <w:spacing w:line="360" w:lineRule="auto"/>
        <w:ind w:firstLine="660" w:firstLineChars="300"/>
      </w:pPr>
      <w:r>
        <w:rPr>
          <w:rFonts w:hint="eastAsia"/>
        </w:rPr>
        <w:t>第二章  项目需求书</w:t>
      </w:r>
    </w:p>
    <w:p>
      <w:pPr>
        <w:tabs>
          <w:tab w:val="left" w:pos="945"/>
        </w:tabs>
        <w:spacing w:line="360" w:lineRule="auto"/>
        <w:ind w:firstLine="660" w:firstLineChars="300"/>
      </w:pPr>
      <w:r>
        <w:rPr>
          <w:rFonts w:hint="eastAsia"/>
        </w:rPr>
        <w:t>第三章  投标人须知</w:t>
      </w:r>
    </w:p>
    <w:p>
      <w:pPr>
        <w:tabs>
          <w:tab w:val="left" w:pos="945"/>
        </w:tabs>
        <w:spacing w:line="360" w:lineRule="auto"/>
        <w:ind w:firstLine="660" w:firstLineChars="300"/>
      </w:pPr>
      <w:r>
        <w:rPr>
          <w:rFonts w:hint="eastAsia"/>
        </w:rPr>
        <w:t>第四章  合同书格式</w:t>
      </w:r>
    </w:p>
    <w:p>
      <w:pPr>
        <w:tabs>
          <w:tab w:val="left" w:pos="945"/>
        </w:tabs>
        <w:spacing w:line="360" w:lineRule="auto"/>
        <w:ind w:firstLine="660" w:firstLineChars="300"/>
      </w:pPr>
      <w:r>
        <w:rPr>
          <w:rFonts w:hint="eastAsia"/>
        </w:rPr>
        <w:t>第五章  投标文件格式</w:t>
      </w:r>
    </w:p>
    <w:p>
      <w:pPr>
        <w:tabs>
          <w:tab w:val="left" w:pos="945"/>
        </w:tabs>
        <w:spacing w:line="360" w:lineRule="auto"/>
        <w:ind w:left="119" w:leftChars="54" w:firstLine="550" w:firstLineChars="250"/>
      </w:pPr>
      <w:r>
        <w:rPr>
          <w:rFonts w:hint="eastAsia"/>
        </w:rPr>
        <w:t>其  它  在招标过程中由采购代理机构发出的澄清、修正和补充文件等。</w:t>
      </w:r>
    </w:p>
    <w:p>
      <w:pPr>
        <w:numPr>
          <w:ilvl w:val="0"/>
          <w:numId w:val="15"/>
        </w:numPr>
        <w:spacing w:line="360" w:lineRule="auto"/>
      </w:pPr>
      <w:r>
        <w:rPr>
          <w:rFonts w:hint="eastAsia"/>
        </w:rPr>
        <w:t>投标人应认真阅读、并充分理解招标文件的全部内容（包括所有澄清、补充、修改内容、重要事项、格式、条款和技术规范、参数及要求等）。投标人没有按照招标文件的要求提交全部资料，或者投标文件没有对招标文件在各方面做出实质性响应是投标人的风险，有可能导致其投标被拒绝，或被认定为无效投标或被确定为投标无效。</w:t>
      </w:r>
    </w:p>
    <w:p>
      <w:pPr>
        <w:numPr>
          <w:ilvl w:val="3"/>
          <w:numId w:val="2"/>
        </w:numPr>
        <w:tabs>
          <w:tab w:val="center" w:pos="210"/>
          <w:tab w:val="center" w:pos="420"/>
          <w:tab w:val="center" w:pos="630"/>
        </w:tabs>
        <w:spacing w:line="360" w:lineRule="auto"/>
        <w:outlineLvl w:val="2"/>
        <w:rPr>
          <w:b/>
          <w:bCs/>
        </w:rPr>
      </w:pPr>
      <w:r>
        <w:rPr>
          <w:rFonts w:hint="eastAsia"/>
          <w:b/>
          <w:bCs/>
        </w:rPr>
        <w:t>招标文件的澄清及答疑</w:t>
      </w:r>
    </w:p>
    <w:p>
      <w:pPr>
        <w:numPr>
          <w:ilvl w:val="0"/>
          <w:numId w:val="16"/>
        </w:numPr>
        <w:spacing w:line="360" w:lineRule="auto"/>
      </w:pPr>
      <w:r>
        <w:rPr>
          <w:rFonts w:hint="eastAsia"/>
        </w:rPr>
        <w:t>任何要求对招标文件进行澄清的投标人，均应以书面形式在投标截止时间十五日以前通知采购代理机构。采购代理机构将组织采购人对投标人所要求澄清的内容均以书面形式予以答复。必要时，采购代理机构将组织相关专家召开答疑会，并将会议内容以书面的形式发给每个购买招标文件的潜在投标人（答复中不包括问题的来源）。</w:t>
      </w:r>
    </w:p>
    <w:p>
      <w:pPr>
        <w:numPr>
          <w:ilvl w:val="0"/>
          <w:numId w:val="16"/>
        </w:numPr>
        <w:spacing w:line="360" w:lineRule="auto"/>
      </w:pPr>
      <w:r>
        <w:rPr>
          <w:rFonts w:hint="eastAsia"/>
        </w:rPr>
        <w:t>或根据需要，采购代理机构和采购人可组织相关专家在《投标须知前附表》规定的时间和地点召开投标答疑会，解答投标人在此之前以书面或当场提出的对招标文件的澄清要求，或以书面函件形式通知购买了招标文件的投标人。答疑或澄清文件作为招标文件的组成部分，如与招标文件的内容不一致的，以答疑或澄清文件最后发出的书面文件为准。</w:t>
      </w:r>
    </w:p>
    <w:p>
      <w:pPr>
        <w:numPr>
          <w:ilvl w:val="0"/>
          <w:numId w:val="16"/>
        </w:numPr>
        <w:spacing w:line="360" w:lineRule="auto"/>
      </w:pPr>
      <w:r>
        <w:rPr>
          <w:rFonts w:hint="eastAsia"/>
        </w:rPr>
        <w:t>投标人在规定的时间内未对招标文件澄清或提出疑问的，采购代理机构将视其为无异议。对招标文件中描述有歧意或前后不一致的地方，评标委员会有权进行评判，但对同一条款的评判应适用于每个投标人。</w:t>
      </w:r>
    </w:p>
    <w:p>
      <w:pPr>
        <w:numPr>
          <w:ilvl w:val="3"/>
          <w:numId w:val="2"/>
        </w:numPr>
        <w:tabs>
          <w:tab w:val="center" w:pos="210"/>
          <w:tab w:val="center" w:pos="420"/>
          <w:tab w:val="center" w:pos="630"/>
        </w:tabs>
        <w:spacing w:line="360" w:lineRule="auto"/>
        <w:outlineLvl w:val="2"/>
        <w:rPr>
          <w:b/>
          <w:bCs/>
        </w:rPr>
      </w:pPr>
      <w:r>
        <w:rPr>
          <w:rFonts w:hint="eastAsia"/>
          <w:b/>
          <w:bCs/>
        </w:rPr>
        <w:t>招标文件的澄清或修改文件发出时间</w:t>
      </w:r>
    </w:p>
    <w:p>
      <w:pPr>
        <w:numPr>
          <w:ilvl w:val="0"/>
          <w:numId w:val="17"/>
        </w:numPr>
        <w:spacing w:line="360" w:lineRule="auto"/>
        <w:rPr>
          <w:bCs/>
          <w:szCs w:val="21"/>
        </w:rPr>
      </w:pPr>
      <w:r>
        <w:t>采购人或者采购代理机构可以对已发出的招标文件进行必要的澄清或者修改。澄清或者修改的内容可能影响投标文件编制的，采购人或者采购代理机构应当在投标截止时间至少15日前，</w:t>
      </w:r>
      <w:r>
        <w:rPr>
          <w:rFonts w:hint="eastAsia"/>
        </w:rPr>
        <w:t>以书面形式通知所有获取招标文件的潜在投标人；</w:t>
      </w:r>
      <w:r>
        <w:t>不足15日的，采购人或者采购代理机构应当顺延提交投标文件的截止时间。</w:t>
      </w:r>
    </w:p>
    <w:p>
      <w:pPr>
        <w:numPr>
          <w:ilvl w:val="0"/>
          <w:numId w:val="17"/>
        </w:numPr>
        <w:spacing w:line="360" w:lineRule="auto"/>
        <w:rPr>
          <w:bCs/>
          <w:szCs w:val="21"/>
        </w:rPr>
      </w:pPr>
      <w:r>
        <w:rPr>
          <w:rFonts w:hint="eastAsia"/>
          <w:bCs/>
          <w:szCs w:val="21"/>
        </w:rPr>
        <w:t>澄清或修改后的内容是招标文件的组成部分，采购代理机构将</w:t>
      </w:r>
      <w:r>
        <w:rPr>
          <w:rFonts w:hint="eastAsia"/>
        </w:rPr>
        <w:t>在</w:t>
      </w:r>
      <w:r>
        <w:rPr>
          <w:rFonts w:hint="eastAsia"/>
          <w:bCs/>
          <w:szCs w:val="20"/>
        </w:rPr>
        <w:t>法定媒体上</w:t>
      </w:r>
      <w:r>
        <w:rPr>
          <w:rFonts w:hint="eastAsia"/>
        </w:rPr>
        <w:t>发布</w:t>
      </w:r>
      <w:r>
        <w:rPr>
          <w:rFonts w:hint="eastAsia"/>
          <w:bCs/>
          <w:szCs w:val="21"/>
        </w:rPr>
        <w:t>澄清或修改</w:t>
      </w:r>
      <w:r>
        <w:rPr>
          <w:rFonts w:hint="eastAsia"/>
        </w:rPr>
        <w:t>公告和</w:t>
      </w:r>
      <w:r>
        <w:rPr>
          <w:rFonts w:hint="eastAsia"/>
          <w:bCs/>
          <w:szCs w:val="21"/>
        </w:rPr>
        <w:t>以书面形式通知所有获取招标文件的潜在投标人，并对潜在投标人具有约束力。潜在投标人在收到上述通知后，应立即以书面形式向采购代理机构确认（加盖单位公章，传真有效</w:t>
      </w:r>
      <w:r>
        <w:rPr>
          <w:rFonts w:hint="eastAsia"/>
          <w:bCs/>
        </w:rPr>
        <w:t>）</w:t>
      </w:r>
      <w:r>
        <w:rPr>
          <w:rFonts w:hint="eastAsia"/>
          <w:bCs/>
          <w:szCs w:val="21"/>
        </w:rPr>
        <w:t>。</w:t>
      </w:r>
      <w:r>
        <w:rPr>
          <w:rFonts w:hint="eastAsia"/>
        </w:rPr>
        <w:t>投标人如在24小时内无书面回复则被视为同意澄清、补充、修改文件内容。</w:t>
      </w:r>
    </w:p>
    <w:p>
      <w:pPr>
        <w:pStyle w:val="4"/>
        <w:numPr>
          <w:ilvl w:val="0"/>
          <w:numId w:val="1"/>
        </w:numPr>
        <w:spacing w:before="240"/>
        <w:ind w:firstLine="482"/>
      </w:pPr>
      <w:bookmarkStart w:id="27" w:name="_Toc385940879"/>
      <w:bookmarkStart w:id="28" w:name="_Toc2134"/>
      <w:r>
        <w:rPr>
          <w:rFonts w:hint="eastAsia"/>
        </w:rPr>
        <w:t>投标文件的编制</w:t>
      </w:r>
      <w:bookmarkEnd w:id="27"/>
      <w:r>
        <w:rPr>
          <w:rFonts w:hint="eastAsia"/>
        </w:rPr>
        <w:t>和数量</w:t>
      </w:r>
      <w:bookmarkEnd w:id="28"/>
    </w:p>
    <w:p>
      <w:pPr>
        <w:numPr>
          <w:ilvl w:val="3"/>
          <w:numId w:val="2"/>
        </w:numPr>
        <w:tabs>
          <w:tab w:val="center" w:pos="210"/>
          <w:tab w:val="center" w:pos="420"/>
          <w:tab w:val="center" w:pos="630"/>
        </w:tabs>
        <w:spacing w:line="360" w:lineRule="auto"/>
        <w:outlineLvl w:val="2"/>
        <w:rPr>
          <w:b/>
          <w:bCs/>
        </w:rPr>
      </w:pPr>
      <w:r>
        <w:rPr>
          <w:rFonts w:hint="eastAsia"/>
          <w:b/>
          <w:bCs/>
        </w:rPr>
        <w:t>投标语言和计量单位</w:t>
      </w:r>
    </w:p>
    <w:p>
      <w:pPr>
        <w:numPr>
          <w:ilvl w:val="0"/>
          <w:numId w:val="18"/>
        </w:numPr>
        <w:spacing w:line="360" w:lineRule="auto"/>
        <w:rPr>
          <w:bCs/>
          <w:szCs w:val="21"/>
        </w:rPr>
      </w:pPr>
      <w:r>
        <w:rPr>
          <w:rFonts w:hint="eastAsia"/>
          <w:bCs/>
          <w:szCs w:val="21"/>
        </w:rPr>
        <w:t>投标人提交的投标文件以及投标人与采购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numPr>
          <w:ilvl w:val="0"/>
          <w:numId w:val="18"/>
        </w:numPr>
        <w:spacing w:line="360" w:lineRule="auto"/>
      </w:pPr>
      <w:r>
        <w:rPr>
          <w:rFonts w:hint="eastAsia"/>
        </w:rPr>
        <w:t>投标文件中所使用的计量单位除招标文件中有特殊规定外，一律使用国际公制单位。</w:t>
      </w:r>
    </w:p>
    <w:p>
      <w:pPr>
        <w:numPr>
          <w:ilvl w:val="3"/>
          <w:numId w:val="2"/>
        </w:numPr>
        <w:tabs>
          <w:tab w:val="center" w:pos="210"/>
          <w:tab w:val="center" w:pos="420"/>
          <w:tab w:val="center" w:pos="630"/>
        </w:tabs>
        <w:spacing w:line="360" w:lineRule="auto"/>
        <w:outlineLvl w:val="2"/>
        <w:rPr>
          <w:b/>
          <w:bCs/>
        </w:rPr>
      </w:pPr>
      <w:r>
        <w:rPr>
          <w:rFonts w:hint="eastAsia"/>
          <w:b/>
          <w:bCs/>
        </w:rPr>
        <w:t>投标文件的构成</w:t>
      </w:r>
    </w:p>
    <w:p>
      <w:pPr>
        <w:numPr>
          <w:ilvl w:val="0"/>
          <w:numId w:val="19"/>
        </w:numPr>
        <w:spacing w:line="360" w:lineRule="auto"/>
        <w:rPr>
          <w:bCs/>
          <w:szCs w:val="21"/>
        </w:rPr>
      </w:pPr>
      <w:r>
        <w:rPr>
          <w:rFonts w:hint="eastAsia"/>
          <w:bCs/>
          <w:szCs w:val="21"/>
        </w:rPr>
        <w:t>投标文件的构成应符合法律法规及招标文件的要求。</w:t>
      </w:r>
    </w:p>
    <w:p>
      <w:pPr>
        <w:numPr>
          <w:ilvl w:val="0"/>
          <w:numId w:val="19"/>
        </w:numPr>
        <w:spacing w:line="360" w:lineRule="auto"/>
        <w:rPr>
          <w:bCs/>
          <w:szCs w:val="21"/>
        </w:rPr>
      </w:pPr>
      <w:r>
        <w:rPr>
          <w:rFonts w:hint="eastAsia"/>
          <w:bCs/>
          <w:szCs w:val="21"/>
        </w:rPr>
        <w:t>投标人编排投标文件应包括投标文件格式要求的所有内容以及招标文件要求提供的内容。</w:t>
      </w:r>
    </w:p>
    <w:p>
      <w:pPr>
        <w:numPr>
          <w:ilvl w:val="3"/>
          <w:numId w:val="2"/>
        </w:numPr>
        <w:tabs>
          <w:tab w:val="center" w:pos="210"/>
          <w:tab w:val="center" w:pos="420"/>
          <w:tab w:val="center" w:pos="630"/>
        </w:tabs>
        <w:spacing w:line="360" w:lineRule="auto"/>
        <w:outlineLvl w:val="2"/>
        <w:rPr>
          <w:b/>
          <w:bCs/>
        </w:rPr>
      </w:pPr>
      <w:r>
        <w:rPr>
          <w:rFonts w:hint="eastAsia"/>
          <w:b/>
          <w:bCs/>
        </w:rPr>
        <w:t>投标文件的编写</w:t>
      </w:r>
    </w:p>
    <w:p>
      <w:pPr>
        <w:numPr>
          <w:ilvl w:val="0"/>
          <w:numId w:val="20"/>
        </w:numPr>
        <w:spacing w:line="360" w:lineRule="auto"/>
        <w:rPr>
          <w:bCs/>
          <w:szCs w:val="21"/>
        </w:rPr>
      </w:pPr>
      <w:r>
        <w:rPr>
          <w:rFonts w:hint="eastAsia"/>
          <w:bCs/>
          <w:szCs w:val="21"/>
        </w:rPr>
        <w:t>投标人须对本项目以包组为单位整体投标，任何只对某包组其中一部分标的进行的投标都被视为无效投标或被确定为投标无效。</w:t>
      </w:r>
    </w:p>
    <w:p>
      <w:pPr>
        <w:numPr>
          <w:ilvl w:val="0"/>
          <w:numId w:val="20"/>
        </w:numPr>
        <w:spacing w:line="360" w:lineRule="auto"/>
        <w:rPr>
          <w:bCs/>
          <w:szCs w:val="21"/>
        </w:rPr>
      </w:pPr>
      <w:r>
        <w:rPr>
          <w:rFonts w:hint="eastAsia"/>
          <w:bCs/>
          <w:szCs w:val="21"/>
        </w:rPr>
        <w:t>投标人对招标文件中多个包（组）进行投标的，其投标文件的编制应按每个包（组）的要求分别装订和封装。如果《投标须知前附表》有特别要求的按照其要求进行编制。投标人应当对投标文件进行装订，对未经装订的投标文件可能发生的文件散落或缺损，由此产生的后果由投标人承担。</w:t>
      </w:r>
    </w:p>
    <w:p>
      <w:pPr>
        <w:numPr>
          <w:ilvl w:val="0"/>
          <w:numId w:val="20"/>
        </w:numPr>
        <w:spacing w:line="360" w:lineRule="auto"/>
        <w:rPr>
          <w:bCs/>
          <w:szCs w:val="21"/>
        </w:rPr>
      </w:pPr>
      <w:r>
        <w:rPr>
          <w:rFonts w:hint="eastAsia"/>
          <w:bCs/>
          <w:szCs w:val="21"/>
        </w:rPr>
        <w:t>投标人应完整、真实、准确的填写招标文件中规定的所有内容。</w:t>
      </w:r>
    </w:p>
    <w:p>
      <w:pPr>
        <w:numPr>
          <w:ilvl w:val="0"/>
          <w:numId w:val="20"/>
        </w:numPr>
        <w:spacing w:line="360" w:lineRule="auto"/>
        <w:rPr>
          <w:bCs/>
          <w:szCs w:val="21"/>
        </w:rPr>
      </w:pPr>
      <w:r>
        <w:rPr>
          <w:rFonts w:hint="eastAsia"/>
          <w:bCs/>
          <w:szCs w:val="21"/>
        </w:rPr>
        <w:t>投标人必须对投标文件所提供的全部资料的真实性承担法律责任，并无条件接受采购代理机构及政府采购监督管理部门等对其中任何资料进行核实的要求。投标人必须对投标文件所提供的全部资料的真实性承担法律责任。</w:t>
      </w:r>
    </w:p>
    <w:p>
      <w:pPr>
        <w:numPr>
          <w:ilvl w:val="0"/>
          <w:numId w:val="20"/>
        </w:numPr>
        <w:spacing w:line="360" w:lineRule="auto"/>
        <w:rPr>
          <w:bCs/>
          <w:szCs w:val="21"/>
        </w:rPr>
      </w:pPr>
      <w:r>
        <w:rPr>
          <w:rFonts w:hint="eastAsia"/>
          <w:bCs/>
          <w:szCs w:val="21"/>
        </w:rPr>
        <w:t>如果因为投标人投标文件填报的内容不详，或没有提供招标文件中所要求的全部资料及数据，由此造成的后果，其责任由投标人承担。</w:t>
      </w:r>
    </w:p>
    <w:p>
      <w:pPr>
        <w:numPr>
          <w:ilvl w:val="3"/>
          <w:numId w:val="2"/>
        </w:numPr>
        <w:tabs>
          <w:tab w:val="center" w:pos="210"/>
          <w:tab w:val="center" w:pos="420"/>
          <w:tab w:val="center" w:pos="630"/>
        </w:tabs>
        <w:spacing w:line="360" w:lineRule="auto"/>
        <w:outlineLvl w:val="2"/>
        <w:rPr>
          <w:b/>
          <w:bCs/>
        </w:rPr>
      </w:pPr>
      <w:r>
        <w:rPr>
          <w:rFonts w:hint="eastAsia"/>
          <w:b/>
          <w:bCs/>
        </w:rPr>
        <w:t>投标报价</w:t>
      </w:r>
    </w:p>
    <w:p>
      <w:pPr>
        <w:numPr>
          <w:ilvl w:val="0"/>
          <w:numId w:val="21"/>
        </w:numPr>
        <w:spacing w:line="360" w:lineRule="auto"/>
        <w:rPr>
          <w:bCs/>
          <w:szCs w:val="21"/>
        </w:rPr>
      </w:pPr>
      <w:r>
        <w:rPr>
          <w:rFonts w:hint="eastAsia"/>
          <w:bCs/>
          <w:szCs w:val="21"/>
        </w:rPr>
        <w:t>投标人所提供的货物和服务均应按照</w:t>
      </w:r>
      <w:r>
        <w:rPr>
          <w:rFonts w:hint="eastAsia"/>
        </w:rPr>
        <w:t>第二章用户需求书要求的</w:t>
      </w:r>
      <w:r>
        <w:rPr>
          <w:rFonts w:hint="eastAsia"/>
          <w:bCs/>
          <w:szCs w:val="21"/>
        </w:rPr>
        <w:t>“</w:t>
      </w:r>
      <w:r>
        <w:rPr>
          <w:rFonts w:hint="eastAsia"/>
          <w:b/>
          <w:szCs w:val="21"/>
        </w:rPr>
        <w:t>计费标准和报价要求</w:t>
      </w:r>
      <w:r>
        <w:rPr>
          <w:rFonts w:hint="eastAsia"/>
          <w:b/>
          <w:bCs/>
          <w:szCs w:val="21"/>
        </w:rPr>
        <w:t>”</w:t>
      </w:r>
      <w:r>
        <w:rPr>
          <w:rFonts w:hint="eastAsia"/>
          <w:bCs/>
          <w:szCs w:val="21"/>
        </w:rPr>
        <w:t>进行报价。</w:t>
      </w:r>
    </w:p>
    <w:p>
      <w:pPr>
        <w:numPr>
          <w:ilvl w:val="0"/>
          <w:numId w:val="21"/>
        </w:numPr>
        <w:spacing w:line="360" w:lineRule="auto"/>
        <w:rPr>
          <w:bCs/>
          <w:szCs w:val="21"/>
        </w:rPr>
      </w:pPr>
      <w:r>
        <w:rPr>
          <w:rFonts w:hint="eastAsia"/>
          <w:bCs/>
          <w:szCs w:val="21"/>
        </w:rPr>
        <w:t>投标人应按照《开标一览表》进行报价。投标总价中不得包含招标文件要求以外的内容，否则，在评标时不予核减。投标总价中也不得缺漏招标文件所要求的内容，否则，其投标将可能被视为无效投标或确定为投标无效。</w:t>
      </w:r>
    </w:p>
    <w:p>
      <w:pPr>
        <w:numPr>
          <w:ilvl w:val="0"/>
          <w:numId w:val="21"/>
        </w:numPr>
        <w:spacing w:line="360" w:lineRule="auto"/>
        <w:rPr>
          <w:bCs/>
          <w:szCs w:val="21"/>
        </w:rPr>
      </w:pPr>
      <w:r>
        <w:rPr>
          <w:rFonts w:hint="eastAsia"/>
          <w:bCs/>
          <w:szCs w:val="21"/>
        </w:rPr>
        <w:t>《投标分项报价表》填写时应响应下列要求：</w:t>
      </w:r>
      <w:r>
        <w:rPr>
          <w:rFonts w:hint="eastAsia"/>
          <w:b/>
          <w:bCs/>
          <w:szCs w:val="21"/>
        </w:rPr>
        <w:t>（本项目无须填写）</w:t>
      </w:r>
    </w:p>
    <w:p>
      <w:pPr>
        <w:numPr>
          <w:ilvl w:val="0"/>
          <w:numId w:val="22"/>
        </w:numPr>
        <w:tabs>
          <w:tab w:val="left" w:pos="945"/>
        </w:tabs>
        <w:spacing w:line="360" w:lineRule="auto"/>
        <w:rPr>
          <w:bCs/>
          <w:szCs w:val="21"/>
        </w:rPr>
      </w:pPr>
      <w:r>
        <w:rPr>
          <w:rFonts w:hint="eastAsia"/>
          <w:bCs/>
          <w:szCs w:val="21"/>
        </w:rPr>
        <w:t>所有根据合同或其它原因应由投标人支付的税款和其它应交纳的费用都要包括在投标人提交的投标价格中；</w:t>
      </w:r>
    </w:p>
    <w:p>
      <w:pPr>
        <w:numPr>
          <w:ilvl w:val="0"/>
          <w:numId w:val="22"/>
        </w:numPr>
        <w:tabs>
          <w:tab w:val="left" w:pos="945"/>
        </w:tabs>
        <w:spacing w:line="360" w:lineRule="auto"/>
        <w:rPr>
          <w:bCs/>
          <w:szCs w:val="21"/>
        </w:rPr>
      </w:pPr>
      <w:r>
        <w:rPr>
          <w:rFonts w:hint="eastAsia"/>
          <w:bCs/>
          <w:szCs w:val="21"/>
        </w:rPr>
        <w:t>应包含货物的制造、至最终目的地的运输、保险和伴随货物服务的其他所有费用。</w:t>
      </w:r>
    </w:p>
    <w:p>
      <w:pPr>
        <w:numPr>
          <w:ilvl w:val="0"/>
          <w:numId w:val="21"/>
        </w:numPr>
        <w:spacing w:line="360" w:lineRule="auto"/>
        <w:rPr>
          <w:bCs/>
          <w:szCs w:val="21"/>
        </w:rPr>
      </w:pPr>
      <w:r>
        <w:rPr>
          <w:rFonts w:hint="eastAsia"/>
          <w:bCs/>
          <w:szCs w:val="21"/>
        </w:rPr>
        <w:t>每一种规格的货物只允许有一个报价，否则将被视为无效投标</w:t>
      </w:r>
      <w:r>
        <w:rPr>
          <w:rFonts w:hint="eastAsia"/>
          <w:sz w:val="28"/>
          <w:szCs w:val="28"/>
        </w:rPr>
        <w:t>。</w:t>
      </w:r>
    </w:p>
    <w:p>
      <w:pPr>
        <w:numPr>
          <w:ilvl w:val="3"/>
          <w:numId w:val="2"/>
        </w:numPr>
        <w:tabs>
          <w:tab w:val="center" w:pos="210"/>
          <w:tab w:val="center" w:pos="420"/>
          <w:tab w:val="center" w:pos="630"/>
        </w:tabs>
        <w:spacing w:line="360" w:lineRule="auto"/>
        <w:outlineLvl w:val="2"/>
        <w:rPr>
          <w:b/>
          <w:bCs/>
        </w:rPr>
      </w:pPr>
      <w:r>
        <w:rPr>
          <w:rFonts w:hint="eastAsia"/>
          <w:b/>
          <w:bCs/>
        </w:rPr>
        <w:t>备选方案</w:t>
      </w:r>
    </w:p>
    <w:p>
      <w:pPr>
        <w:numPr>
          <w:ilvl w:val="0"/>
          <w:numId w:val="23"/>
        </w:numPr>
        <w:spacing w:line="360" w:lineRule="auto"/>
        <w:rPr>
          <w:bCs/>
          <w:szCs w:val="21"/>
        </w:rPr>
      </w:pPr>
      <w:r>
        <w:rPr>
          <w:rFonts w:hint="eastAsia"/>
          <w:bCs/>
          <w:szCs w:val="21"/>
        </w:rPr>
        <w:t>只允许投标人有一个投标方案，否则将被视为无效投标。《投标须知前附表》允许有备选方案的除外。</w:t>
      </w:r>
    </w:p>
    <w:p>
      <w:pPr>
        <w:numPr>
          <w:ilvl w:val="3"/>
          <w:numId w:val="2"/>
        </w:numPr>
        <w:tabs>
          <w:tab w:val="center" w:pos="210"/>
          <w:tab w:val="center" w:pos="420"/>
          <w:tab w:val="center" w:pos="630"/>
        </w:tabs>
        <w:spacing w:line="360" w:lineRule="auto"/>
        <w:outlineLvl w:val="2"/>
        <w:rPr>
          <w:b/>
          <w:bCs/>
        </w:rPr>
      </w:pPr>
      <w:r>
        <w:rPr>
          <w:rFonts w:hint="eastAsia"/>
          <w:b/>
          <w:bCs/>
        </w:rPr>
        <w:t>联合体投标</w:t>
      </w:r>
    </w:p>
    <w:p>
      <w:pPr>
        <w:numPr>
          <w:ilvl w:val="0"/>
          <w:numId w:val="24"/>
        </w:numPr>
        <w:spacing w:line="360" w:lineRule="auto"/>
      </w:pPr>
      <w:r>
        <w:rPr>
          <w:rFonts w:hint="eastAsia"/>
          <w:bCs/>
          <w:szCs w:val="21"/>
        </w:rPr>
        <w:t>如果《投标须知前附表》允许投标人为联合体，联合体各方均必须具有独立承担民事责任的能力。</w:t>
      </w:r>
      <w:r>
        <w:rPr>
          <w:rFonts w:hint="eastAsia"/>
          <w:szCs w:val="21"/>
        </w:rPr>
        <w:t>投标人须提交联合体各方的资格证明文件、联合体协议并注明主体方及各方拟承担的工作和责任。联合体投标文件由联合体各方或主体方盖章，否则，将导致其投标无效。</w:t>
      </w:r>
    </w:p>
    <w:p>
      <w:pPr>
        <w:numPr>
          <w:ilvl w:val="0"/>
          <w:numId w:val="24"/>
        </w:numPr>
        <w:spacing w:line="360" w:lineRule="auto"/>
      </w:pPr>
      <w:r>
        <w:rPr>
          <w:rFonts w:hint="eastAsia"/>
          <w:bCs/>
          <w:szCs w:val="21"/>
        </w:rPr>
        <w:t>联合体各方不得再单独参加或者与其他供应商另外组成联合体参加同一合同项下的政府采购活动。</w:t>
      </w:r>
    </w:p>
    <w:p>
      <w:pPr>
        <w:numPr>
          <w:ilvl w:val="0"/>
          <w:numId w:val="24"/>
        </w:numPr>
        <w:spacing w:line="360" w:lineRule="auto"/>
      </w:pPr>
      <w:r>
        <w:rPr>
          <w:rFonts w:hint="eastAsia"/>
          <w:bCs/>
          <w:szCs w:val="21"/>
        </w:rPr>
        <w:t>联合体中有同类资质的供应商按照联合体分工承担相同工作的，按照资质等级较低的供应商确定资质等级。</w:t>
      </w:r>
    </w:p>
    <w:p>
      <w:pPr>
        <w:numPr>
          <w:ilvl w:val="0"/>
          <w:numId w:val="24"/>
        </w:numPr>
        <w:spacing w:line="360" w:lineRule="auto"/>
      </w:pPr>
      <w:r>
        <w:rPr>
          <w:rFonts w:hint="eastAsia"/>
          <w:szCs w:val="21"/>
        </w:rPr>
        <w:t>联合体投标的，可以由联合体中的一方或者共同提交投标保证金，以一方名义提交投标保证金的，对联合体各方均具有约束力。</w:t>
      </w:r>
    </w:p>
    <w:p>
      <w:pPr>
        <w:numPr>
          <w:ilvl w:val="0"/>
          <w:numId w:val="24"/>
        </w:numPr>
        <w:spacing w:line="360" w:lineRule="auto"/>
      </w:pPr>
      <w:r>
        <w:rPr>
          <w:rFonts w:hint="eastAsia"/>
        </w:rPr>
        <w:t>联合体中标的，联合体各方应当共同与采购人签订合同。</w:t>
      </w:r>
    </w:p>
    <w:p>
      <w:pPr>
        <w:numPr>
          <w:ilvl w:val="0"/>
          <w:numId w:val="24"/>
        </w:numPr>
        <w:spacing w:line="360" w:lineRule="auto"/>
      </w:pPr>
      <w:r>
        <w:rPr>
          <w:rFonts w:hint="eastAsia"/>
          <w:bCs/>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numPr>
          <w:ilvl w:val="0"/>
          <w:numId w:val="24"/>
        </w:numPr>
        <w:spacing w:line="360" w:lineRule="auto"/>
      </w:pPr>
      <w:r>
        <w:rPr>
          <w:rFonts w:hint="eastAsia"/>
        </w:rPr>
        <w:t>组成联合体投标的按政府采购的法律、法规、规章等有关规定执行。</w:t>
      </w:r>
    </w:p>
    <w:p>
      <w:pPr>
        <w:numPr>
          <w:ilvl w:val="3"/>
          <w:numId w:val="2"/>
        </w:numPr>
        <w:tabs>
          <w:tab w:val="center" w:pos="210"/>
          <w:tab w:val="center" w:pos="420"/>
          <w:tab w:val="center" w:pos="630"/>
        </w:tabs>
        <w:spacing w:line="360" w:lineRule="auto"/>
        <w:outlineLvl w:val="2"/>
        <w:rPr>
          <w:b/>
          <w:bCs/>
        </w:rPr>
      </w:pPr>
      <w:r>
        <w:rPr>
          <w:rFonts w:hint="eastAsia"/>
          <w:b/>
          <w:bCs/>
        </w:rPr>
        <w:t>投标人资格证明文件</w:t>
      </w:r>
    </w:p>
    <w:p>
      <w:pPr>
        <w:numPr>
          <w:ilvl w:val="0"/>
          <w:numId w:val="25"/>
        </w:numPr>
        <w:spacing w:line="360" w:lineRule="auto"/>
      </w:pPr>
      <w:r>
        <w:rPr>
          <w:rFonts w:hint="eastAsia"/>
        </w:rPr>
        <w:t>投标人应按招标文件的要求，提交证明其有资格参加投标和中标后有履行合同能力的文件，并作为其投标文件的组成部分，</w:t>
      </w:r>
      <w:r>
        <w:rPr>
          <w:rFonts w:hint="eastAsia" w:hAnsi="ËÎÌå"/>
          <w:szCs w:val="21"/>
        </w:rPr>
        <w:t>如果投标人为联合体，应提交联合体各方的资格证明文件、共同投标协议并注明主体方及各方拟承担的工作和责任。否则，将导致其投标无效。</w:t>
      </w:r>
    </w:p>
    <w:p>
      <w:pPr>
        <w:numPr>
          <w:ilvl w:val="0"/>
          <w:numId w:val="25"/>
        </w:numPr>
        <w:spacing w:line="360" w:lineRule="auto"/>
        <w:rPr>
          <w:b/>
          <w:bCs/>
        </w:rPr>
      </w:pPr>
      <w:r>
        <w:rPr>
          <w:rFonts w:hint="eastAsia" w:hAnsi="ËÎÌå"/>
          <w:szCs w:val="21"/>
        </w:rPr>
        <w:t>投标人提交的资格证明文件应证明其满足本须知定义的合格投标人。</w:t>
      </w:r>
    </w:p>
    <w:p>
      <w:pPr>
        <w:numPr>
          <w:ilvl w:val="3"/>
          <w:numId w:val="2"/>
        </w:numPr>
        <w:tabs>
          <w:tab w:val="center" w:pos="210"/>
          <w:tab w:val="center" w:pos="420"/>
          <w:tab w:val="center" w:pos="630"/>
        </w:tabs>
        <w:spacing w:line="360" w:lineRule="auto"/>
        <w:outlineLvl w:val="2"/>
        <w:rPr>
          <w:b/>
          <w:bCs/>
        </w:rPr>
      </w:pPr>
      <w:r>
        <w:rPr>
          <w:rFonts w:hint="eastAsia"/>
          <w:b/>
          <w:bCs/>
        </w:rPr>
        <w:t>投标保证金</w:t>
      </w:r>
    </w:p>
    <w:p>
      <w:pPr>
        <w:numPr>
          <w:ilvl w:val="0"/>
          <w:numId w:val="26"/>
        </w:numPr>
        <w:spacing w:line="360" w:lineRule="auto"/>
      </w:pPr>
      <w:r>
        <w:rPr>
          <w:rFonts w:hint="eastAsia"/>
        </w:rPr>
        <w:t>投标人应按招标文件规定的金额和期限交纳投标保证金，投标保证金作为投标文件的组成部分。</w:t>
      </w:r>
      <w:r>
        <w:rPr>
          <w:rFonts w:hint="eastAsia"/>
          <w:szCs w:val="21"/>
        </w:rPr>
        <w:t>投标人与交款人名称必须一致，非投标人缴纳的投标保证金无效。</w:t>
      </w:r>
    </w:p>
    <w:p>
      <w:pPr>
        <w:numPr>
          <w:ilvl w:val="0"/>
          <w:numId w:val="26"/>
        </w:numPr>
        <w:spacing w:line="360" w:lineRule="auto"/>
      </w:pPr>
      <w:r>
        <w:rPr>
          <w:rFonts w:hint="eastAsia"/>
        </w:rPr>
        <w:t>投标保证金交纳形式：转账</w:t>
      </w:r>
      <w:r>
        <w:t>或者金融机构、担保机构出具的保函等非现金形式提交</w:t>
      </w:r>
      <w:r>
        <w:rPr>
          <w:rFonts w:hint="eastAsia"/>
        </w:rPr>
        <w:t>。</w:t>
      </w:r>
    </w:p>
    <w:p>
      <w:pPr>
        <w:numPr>
          <w:ilvl w:val="0"/>
          <w:numId w:val="26"/>
        </w:numPr>
        <w:spacing w:line="360" w:lineRule="auto"/>
      </w:pPr>
      <w:r>
        <w:rPr>
          <w:rFonts w:hint="eastAsia"/>
        </w:rPr>
        <w:t>投标保证金交纳时间：须在投标截止时间前到达采购代理机构账户</w:t>
      </w:r>
      <w:r>
        <w:rPr>
          <w:rFonts w:hint="eastAsia"/>
          <w:szCs w:val="21"/>
        </w:rPr>
        <w:t>（以银行到账时间为准）</w:t>
      </w:r>
      <w:r>
        <w:rPr>
          <w:rFonts w:hint="eastAsia"/>
        </w:rPr>
        <w:t>。</w:t>
      </w:r>
    </w:p>
    <w:p>
      <w:pPr>
        <w:numPr>
          <w:ilvl w:val="0"/>
          <w:numId w:val="26"/>
        </w:numPr>
        <w:spacing w:line="360" w:lineRule="auto"/>
      </w:pPr>
      <w:r>
        <w:rPr>
          <w:rFonts w:hint="eastAsia"/>
        </w:rPr>
        <w:t>投标人应向采购代理机构提交投标保证金，金额见《投标须知前附表》。</w:t>
      </w:r>
      <w:r>
        <w:t xml:space="preserve"> </w:t>
      </w:r>
    </w:p>
    <w:p>
      <w:pPr>
        <w:numPr>
          <w:ilvl w:val="0"/>
          <w:numId w:val="26"/>
        </w:numPr>
        <w:spacing w:line="360" w:lineRule="auto"/>
      </w:pPr>
      <w:r>
        <w:rPr>
          <w:rFonts w:hint="eastAsia"/>
        </w:rPr>
        <w:t>投标保证金应为人民币，可以选择下列方式中任何一种，在投标时装入电子文件信封中封密封提交：</w:t>
      </w:r>
    </w:p>
    <w:p>
      <w:pPr>
        <w:numPr>
          <w:ilvl w:val="1"/>
          <w:numId w:val="26"/>
        </w:numPr>
        <w:tabs>
          <w:tab w:val="left" w:pos="426"/>
          <w:tab w:val="left" w:pos="851"/>
        </w:tabs>
        <w:spacing w:line="360" w:lineRule="auto"/>
      </w:pPr>
      <w:r>
        <w:rPr>
          <w:rFonts w:hint="eastAsia"/>
        </w:rPr>
        <w:t>从投标人账户将投标保证金转入或汇入以下账户：</w:t>
      </w:r>
    </w:p>
    <w:p>
      <w:pPr>
        <w:adjustRightInd w:val="0"/>
        <w:spacing w:line="360" w:lineRule="auto"/>
        <w:ind w:left="442" w:leftChars="201" w:firstLine="814" w:firstLineChars="370"/>
      </w:pPr>
      <w:r>
        <w:rPr>
          <w:rFonts w:hint="eastAsia"/>
        </w:rPr>
        <w:t>开户名称：中达安股份有限公司</w:t>
      </w:r>
    </w:p>
    <w:p>
      <w:pPr>
        <w:adjustRightInd w:val="0"/>
        <w:spacing w:line="360" w:lineRule="auto"/>
        <w:ind w:left="442" w:leftChars="201" w:firstLine="814" w:firstLineChars="370"/>
      </w:pPr>
      <w:r>
        <w:rPr>
          <w:rFonts w:hint="eastAsia"/>
        </w:rPr>
        <w:t>开户银行及账号：见《投标须知前附表》。</w:t>
      </w:r>
    </w:p>
    <w:p>
      <w:pPr>
        <w:adjustRightInd w:val="0"/>
        <w:spacing w:line="360" w:lineRule="auto"/>
        <w:ind w:left="442" w:leftChars="201" w:firstLine="374" w:firstLineChars="170"/>
      </w:pPr>
      <w:r>
        <w:rPr>
          <w:rFonts w:hint="eastAsia"/>
        </w:rPr>
        <w:t>1）投标人汇缴保证金时应按包组（如有）汇缴，并按招标文件规定的保证金金额汇缴。</w:t>
      </w:r>
    </w:p>
    <w:p>
      <w:pPr>
        <w:adjustRightInd w:val="0"/>
        <w:spacing w:line="360" w:lineRule="auto"/>
        <w:ind w:left="442" w:leftChars="201" w:firstLine="374" w:firstLineChars="170"/>
      </w:pPr>
      <w:r>
        <w:rPr>
          <w:rFonts w:hint="eastAsia"/>
        </w:rPr>
        <w:t>2）汇缴时务必在汇款单备注上标注采购项目编号和包组号（如有）。</w:t>
      </w:r>
    </w:p>
    <w:p>
      <w:pPr>
        <w:numPr>
          <w:ilvl w:val="1"/>
          <w:numId w:val="26"/>
        </w:numPr>
        <w:tabs>
          <w:tab w:val="left" w:pos="426"/>
          <w:tab w:val="left" w:pos="851"/>
        </w:tabs>
        <w:spacing w:line="360" w:lineRule="auto"/>
      </w:pPr>
      <w:r>
        <w:rPr>
          <w:rFonts w:hint="eastAsia"/>
        </w:rPr>
        <w:t>用“保函”形式提交的：</w:t>
      </w:r>
    </w:p>
    <w:p>
      <w:pPr>
        <w:adjustRightInd w:val="0"/>
        <w:spacing w:line="360" w:lineRule="auto"/>
        <w:ind w:left="442" w:leftChars="201" w:firstLine="374" w:firstLineChars="170"/>
      </w:pPr>
      <w:r>
        <w:rPr>
          <w:rFonts w:hint="eastAsia"/>
        </w:rPr>
        <w:t>在投标时提供有效的“保函”复印件，作为投标文件的组成部分之一。</w:t>
      </w:r>
    </w:p>
    <w:p>
      <w:pPr>
        <w:numPr>
          <w:ilvl w:val="1"/>
          <w:numId w:val="26"/>
        </w:numPr>
        <w:tabs>
          <w:tab w:val="left" w:pos="426"/>
          <w:tab w:val="left" w:pos="851"/>
        </w:tabs>
        <w:spacing w:line="360" w:lineRule="auto"/>
      </w:pPr>
      <w:r>
        <w:rPr>
          <w:rFonts w:hint="eastAsia"/>
          <w:b/>
        </w:rPr>
        <w:t>采用《政府采购投标担保函》提交的</w:t>
      </w:r>
      <w:r>
        <w:rPr>
          <w:rFonts w:hint="eastAsia"/>
        </w:rPr>
        <w:t>，应符合下列规定：</w:t>
      </w:r>
    </w:p>
    <w:p>
      <w:pPr>
        <w:pStyle w:val="26"/>
        <w:spacing w:line="360" w:lineRule="auto"/>
        <w:ind w:left="883" w:leftChars="306" w:hanging="210" w:hangingChars="100"/>
        <w:rPr>
          <w:rFonts w:ascii="宋体" w:eastAsia="宋体"/>
          <w:sz w:val="21"/>
          <w:szCs w:val="20"/>
        </w:rPr>
      </w:pPr>
      <w:r>
        <w:rPr>
          <w:rFonts w:hint="eastAsia" w:ascii="宋体" w:eastAsia="宋体"/>
          <w:sz w:val="21"/>
          <w:szCs w:val="20"/>
        </w:rPr>
        <w:t>1）由财政部选定的试点专业担保机构或《广东省政府采购信用担保试点实施方案》选定的专业担保机构出具（省直地区：中国投资担保有限公司，广州地区：广东省融资再担保公司）；</w:t>
      </w:r>
    </w:p>
    <w:p>
      <w:pPr>
        <w:adjustRightInd w:val="0"/>
        <w:snapToGrid w:val="0"/>
        <w:spacing w:line="360" w:lineRule="auto"/>
        <w:ind w:firstLine="660" w:firstLineChars="300"/>
      </w:pPr>
      <w:r>
        <w:rPr>
          <w:rFonts w:hint="eastAsia"/>
        </w:rPr>
        <w:t>2）投标担保函有效期应与投标有效期一致。</w:t>
      </w:r>
    </w:p>
    <w:p>
      <w:pPr>
        <w:numPr>
          <w:ilvl w:val="0"/>
          <w:numId w:val="26"/>
        </w:numPr>
        <w:spacing w:line="360" w:lineRule="auto"/>
      </w:pPr>
      <w:r>
        <w:t>投标人未按照招标文件要求提交投标保证金的，投标无效</w:t>
      </w:r>
      <w:r>
        <w:rPr>
          <w:rFonts w:hint="eastAsia"/>
        </w:rPr>
        <w:t>。</w:t>
      </w:r>
    </w:p>
    <w:p>
      <w:pPr>
        <w:numPr>
          <w:ilvl w:val="0"/>
          <w:numId w:val="26"/>
        </w:numPr>
        <w:spacing w:line="360" w:lineRule="auto"/>
        <w:rPr>
          <w:szCs w:val="21"/>
        </w:rPr>
      </w:pPr>
      <w:r>
        <w:rPr>
          <w:rFonts w:hint="eastAsia"/>
          <w:szCs w:val="21"/>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numPr>
          <w:ilvl w:val="0"/>
          <w:numId w:val="26"/>
        </w:numPr>
        <w:spacing w:line="360" w:lineRule="auto"/>
      </w:pPr>
      <w:r>
        <w:rPr>
          <w:rFonts w:hint="eastAsia"/>
        </w:rPr>
        <w:t>如无质疑或投诉，未中标的投标人保证金，在中标通知书发出之日起5个工作日内原额退还；如有质疑或投诉，将在质疑和投诉处理完毕后原额退还。</w:t>
      </w:r>
    </w:p>
    <w:p>
      <w:pPr>
        <w:numPr>
          <w:ilvl w:val="0"/>
          <w:numId w:val="26"/>
        </w:numPr>
        <w:spacing w:line="360" w:lineRule="auto"/>
      </w:pPr>
      <w:r>
        <w:rPr>
          <w:rFonts w:hint="eastAsia"/>
        </w:rPr>
        <w:t>中标人的投标保证金，在中标人与采购人签订政府采购合同之日起五个工作日内原额退还。</w:t>
      </w:r>
    </w:p>
    <w:p>
      <w:pPr>
        <w:numPr>
          <w:ilvl w:val="0"/>
          <w:numId w:val="26"/>
        </w:numPr>
        <w:spacing w:line="360" w:lineRule="auto"/>
      </w:pPr>
      <w:r>
        <w:rPr>
          <w:rFonts w:hint="eastAsia"/>
        </w:rPr>
        <w:t>有下列情形之一的，投标保证金</w:t>
      </w:r>
      <w:r>
        <w:rPr>
          <w:rFonts w:hint="eastAsia"/>
          <w:szCs w:val="21"/>
        </w:rPr>
        <w:t>不予退还</w:t>
      </w:r>
      <w:r>
        <w:rPr>
          <w:rFonts w:hint="eastAsia"/>
        </w:rPr>
        <w:t>：</w:t>
      </w:r>
    </w:p>
    <w:p>
      <w:pPr>
        <w:numPr>
          <w:ilvl w:val="1"/>
          <w:numId w:val="26"/>
        </w:numPr>
        <w:tabs>
          <w:tab w:val="left" w:pos="426"/>
          <w:tab w:val="left" w:pos="851"/>
        </w:tabs>
        <w:spacing w:line="360" w:lineRule="auto"/>
      </w:pPr>
      <w:r>
        <w:rPr>
          <w:rFonts w:hint="eastAsia"/>
          <w:szCs w:val="21"/>
        </w:rPr>
        <w:t>投标有效期内投标人撤销投标文件的；</w:t>
      </w:r>
    </w:p>
    <w:p>
      <w:pPr>
        <w:numPr>
          <w:ilvl w:val="1"/>
          <w:numId w:val="26"/>
        </w:numPr>
        <w:tabs>
          <w:tab w:val="left" w:pos="426"/>
          <w:tab w:val="left" w:pos="851"/>
        </w:tabs>
        <w:spacing w:line="360" w:lineRule="auto"/>
      </w:pPr>
      <w:r>
        <w:rPr>
          <w:rFonts w:hint="eastAsia"/>
        </w:rPr>
        <w:t>中标后无正当理由放弃中标或在规定期限内未与采购人签订合同；</w:t>
      </w:r>
    </w:p>
    <w:p>
      <w:pPr>
        <w:numPr>
          <w:ilvl w:val="1"/>
          <w:numId w:val="26"/>
        </w:numPr>
        <w:tabs>
          <w:tab w:val="left" w:pos="426"/>
          <w:tab w:val="left" w:pos="851"/>
        </w:tabs>
        <w:spacing w:line="360" w:lineRule="auto"/>
      </w:pPr>
      <w:r>
        <w:rPr>
          <w:rFonts w:hint="eastAsia"/>
        </w:rPr>
        <w:t>中标人未按本须知规定交纳招标代理服务费；</w:t>
      </w:r>
    </w:p>
    <w:p>
      <w:pPr>
        <w:numPr>
          <w:ilvl w:val="1"/>
          <w:numId w:val="26"/>
        </w:numPr>
        <w:tabs>
          <w:tab w:val="left" w:pos="426"/>
          <w:tab w:val="left" w:pos="851"/>
        </w:tabs>
        <w:spacing w:line="360" w:lineRule="auto"/>
      </w:pPr>
      <w:r>
        <w:rPr>
          <w:rFonts w:hint="eastAsia"/>
        </w:rPr>
        <w:t>中标人在规定期限内不按招标文件及相关规定提交履约保证金（如有）；</w:t>
      </w:r>
    </w:p>
    <w:p>
      <w:pPr>
        <w:numPr>
          <w:ilvl w:val="1"/>
          <w:numId w:val="26"/>
        </w:numPr>
        <w:tabs>
          <w:tab w:val="left" w:pos="426"/>
          <w:tab w:val="left" w:pos="851"/>
        </w:tabs>
        <w:spacing w:line="360" w:lineRule="auto"/>
      </w:pPr>
      <w:r>
        <w:rPr>
          <w:rFonts w:hint="eastAsia"/>
          <w:szCs w:val="21"/>
        </w:rPr>
        <w:t>凡发现中标人有下列行为之一的，除移交政府采购监督管理部门依法处理外，不予退还投标保证金</w:t>
      </w:r>
      <w:r>
        <w:rPr>
          <w:rFonts w:hint="eastAsia"/>
        </w:rPr>
        <w:t>：</w:t>
      </w:r>
    </w:p>
    <w:p>
      <w:pPr>
        <w:tabs>
          <w:tab w:val="left" w:pos="720"/>
        </w:tabs>
        <w:spacing w:line="360" w:lineRule="auto"/>
        <w:ind w:firstLine="880" w:firstLineChars="400"/>
        <w:rPr>
          <w:szCs w:val="21"/>
        </w:rPr>
      </w:pPr>
      <w:r>
        <w:rPr>
          <w:rFonts w:hint="eastAsia" w:ascii="仿宋" w:hAnsi="仿宋" w:eastAsia="仿宋" w:cs="仿宋"/>
        </w:rPr>
        <w:t>①</w:t>
      </w:r>
      <w:r>
        <w:rPr>
          <w:rFonts w:hint="eastAsia"/>
          <w:szCs w:val="21"/>
        </w:rPr>
        <w:t>提供虚假材料谋取中标的；</w:t>
      </w:r>
    </w:p>
    <w:p>
      <w:pPr>
        <w:tabs>
          <w:tab w:val="left" w:pos="720"/>
        </w:tabs>
        <w:spacing w:line="360" w:lineRule="auto"/>
        <w:ind w:firstLine="880" w:firstLineChars="400"/>
        <w:rPr>
          <w:szCs w:val="21"/>
        </w:rPr>
      </w:pPr>
      <w:r>
        <w:rPr>
          <w:rFonts w:hint="eastAsia" w:ascii="仿宋" w:hAnsi="仿宋" w:eastAsia="仿宋" w:cs="仿宋"/>
          <w:szCs w:val="21"/>
        </w:rPr>
        <w:t>②</w:t>
      </w:r>
      <w:r>
        <w:rPr>
          <w:rFonts w:hint="eastAsia"/>
          <w:szCs w:val="21"/>
        </w:rPr>
        <w:t>采取不正当手段诋毁、排挤其他供应商的；</w:t>
      </w:r>
    </w:p>
    <w:p>
      <w:pPr>
        <w:tabs>
          <w:tab w:val="left" w:pos="720"/>
        </w:tabs>
        <w:spacing w:line="360" w:lineRule="auto"/>
        <w:ind w:firstLine="880" w:firstLineChars="400"/>
        <w:rPr>
          <w:szCs w:val="21"/>
        </w:rPr>
      </w:pPr>
      <w:r>
        <w:rPr>
          <w:rFonts w:hint="eastAsia" w:ascii="仿宋" w:hAnsi="仿宋" w:eastAsia="仿宋" w:cs="仿宋"/>
          <w:szCs w:val="21"/>
        </w:rPr>
        <w:t>③</w:t>
      </w:r>
      <w:r>
        <w:rPr>
          <w:rFonts w:hint="eastAsia"/>
          <w:szCs w:val="21"/>
        </w:rPr>
        <w:t>与采购人、其他供应商或者代理机构工作人员恶意串通的；</w:t>
      </w:r>
    </w:p>
    <w:p>
      <w:pPr>
        <w:tabs>
          <w:tab w:val="left" w:pos="720"/>
        </w:tabs>
        <w:spacing w:line="360" w:lineRule="auto"/>
        <w:ind w:firstLine="880" w:firstLineChars="400"/>
        <w:rPr>
          <w:szCs w:val="21"/>
        </w:rPr>
      </w:pPr>
      <w:r>
        <w:rPr>
          <w:rFonts w:hint="eastAsia" w:ascii="仿宋" w:hAnsi="仿宋" w:eastAsia="仿宋" w:cs="仿宋"/>
          <w:szCs w:val="21"/>
        </w:rPr>
        <w:t>④</w:t>
      </w:r>
      <w:r>
        <w:rPr>
          <w:rFonts w:hint="eastAsia"/>
          <w:szCs w:val="21"/>
        </w:rPr>
        <w:t>向采购人、代理机构工作人员行贿或者提供其他不正当利益的；</w:t>
      </w:r>
    </w:p>
    <w:p>
      <w:pPr>
        <w:tabs>
          <w:tab w:val="left" w:pos="720"/>
        </w:tabs>
        <w:spacing w:line="360" w:lineRule="auto"/>
        <w:ind w:firstLine="880" w:firstLineChars="400"/>
        <w:rPr>
          <w:szCs w:val="21"/>
        </w:rPr>
      </w:pPr>
      <w:r>
        <w:rPr>
          <w:rFonts w:hint="eastAsia" w:ascii="仿宋" w:hAnsi="仿宋" w:eastAsia="仿宋" w:cs="仿宋"/>
          <w:szCs w:val="21"/>
        </w:rPr>
        <w:t>⑤</w:t>
      </w:r>
      <w:r>
        <w:rPr>
          <w:rFonts w:hint="eastAsia"/>
          <w:szCs w:val="21"/>
        </w:rPr>
        <w:t>在招标采购过程中私下与采购人或招标代理人进行协商谈判的；</w:t>
      </w:r>
    </w:p>
    <w:p>
      <w:pPr>
        <w:tabs>
          <w:tab w:val="left" w:pos="720"/>
        </w:tabs>
        <w:spacing w:line="360" w:lineRule="auto"/>
        <w:ind w:firstLine="880" w:firstLineChars="400"/>
        <w:rPr>
          <w:szCs w:val="21"/>
        </w:rPr>
      </w:pPr>
      <w:r>
        <w:rPr>
          <w:rFonts w:hint="eastAsia" w:ascii="仿宋" w:hAnsi="仿宋" w:eastAsia="仿宋" w:cs="仿宋"/>
          <w:szCs w:val="21"/>
        </w:rPr>
        <w:t>⑥</w:t>
      </w:r>
      <w:r>
        <w:rPr>
          <w:rFonts w:hint="eastAsia"/>
          <w:szCs w:val="21"/>
        </w:rPr>
        <w:t>拒绝有关监管部门监督检查或者提供虚假情况的；</w:t>
      </w:r>
    </w:p>
    <w:p>
      <w:pPr>
        <w:tabs>
          <w:tab w:val="left" w:pos="720"/>
        </w:tabs>
        <w:spacing w:line="360" w:lineRule="auto"/>
        <w:ind w:firstLine="880" w:firstLineChars="400"/>
        <w:rPr>
          <w:szCs w:val="21"/>
        </w:rPr>
      </w:pPr>
      <w:r>
        <w:rPr>
          <w:rFonts w:hint="eastAsia" w:ascii="仿宋" w:hAnsi="仿宋" w:eastAsia="仿宋" w:cs="仿宋"/>
          <w:szCs w:val="21"/>
        </w:rPr>
        <w:t>⑦</w:t>
      </w:r>
      <w:r>
        <w:rPr>
          <w:rFonts w:hint="eastAsia"/>
          <w:szCs w:val="21"/>
        </w:rPr>
        <w:t>有法律、法规规定的其他损害采购人利益和社会公共利益情形的。</w:t>
      </w:r>
    </w:p>
    <w:p>
      <w:pPr>
        <w:numPr>
          <w:ilvl w:val="3"/>
          <w:numId w:val="2"/>
        </w:numPr>
        <w:tabs>
          <w:tab w:val="center" w:pos="210"/>
          <w:tab w:val="center" w:pos="420"/>
          <w:tab w:val="center" w:pos="630"/>
        </w:tabs>
        <w:spacing w:line="360" w:lineRule="auto"/>
        <w:outlineLvl w:val="2"/>
        <w:rPr>
          <w:b/>
          <w:bCs/>
        </w:rPr>
      </w:pPr>
      <w:r>
        <w:rPr>
          <w:rFonts w:hint="eastAsia"/>
          <w:b/>
          <w:bCs/>
        </w:rPr>
        <w:t>投标的截止时间、投标有效期</w:t>
      </w:r>
    </w:p>
    <w:p>
      <w:pPr>
        <w:numPr>
          <w:ilvl w:val="0"/>
          <w:numId w:val="27"/>
        </w:numPr>
        <w:spacing w:line="360" w:lineRule="auto"/>
      </w:pPr>
      <w:r>
        <w:rPr>
          <w:rFonts w:hint="eastAsia"/>
        </w:rPr>
        <w:t>投标的截止时间为第一章《投标邀请函》中规定时间，超过截止时间后的投标为无效投标，采购代理机构将拒收。</w:t>
      </w:r>
    </w:p>
    <w:p>
      <w:pPr>
        <w:numPr>
          <w:ilvl w:val="0"/>
          <w:numId w:val="27"/>
        </w:numPr>
        <w:spacing w:line="360" w:lineRule="auto"/>
      </w:pPr>
      <w:r>
        <w:rPr>
          <w:rFonts w:hint="eastAsia"/>
        </w:rPr>
        <w:t>从投标截止日起，投标有效期为《投标须知前附表》规定天数。在特殊情况下，采购代理机构可于投标有效期满之前要求投标人同意延长有效期，要求与答复均应以书面形式。投标人可以拒绝上述要求而其投标保证金不被没收，同意延期的投标人在原投标有效期内应享之权利及应负之责任也相应延续。</w:t>
      </w:r>
    </w:p>
    <w:p>
      <w:pPr>
        <w:numPr>
          <w:ilvl w:val="3"/>
          <w:numId w:val="2"/>
        </w:numPr>
        <w:tabs>
          <w:tab w:val="center" w:pos="210"/>
          <w:tab w:val="center" w:pos="420"/>
          <w:tab w:val="center" w:pos="630"/>
        </w:tabs>
        <w:spacing w:line="360" w:lineRule="auto"/>
        <w:outlineLvl w:val="2"/>
        <w:rPr>
          <w:b/>
          <w:bCs/>
        </w:rPr>
      </w:pPr>
      <w:r>
        <w:rPr>
          <w:rFonts w:hint="eastAsia"/>
          <w:b/>
          <w:bCs/>
        </w:rPr>
        <w:t>投标文件的数量和签署</w:t>
      </w:r>
    </w:p>
    <w:p>
      <w:pPr>
        <w:numPr>
          <w:ilvl w:val="0"/>
          <w:numId w:val="28"/>
        </w:numPr>
        <w:spacing w:line="360" w:lineRule="auto"/>
      </w:pPr>
      <w:r>
        <w:rPr>
          <w:rFonts w:hint="eastAsia"/>
        </w:rPr>
        <w:t>投标人应编制投标文件的数量见《投标须知前附表》规定，投标文件的副本可采用正本的复印件。每套投标文件须清楚地标明“正本”、“副本”。若副本与正本不符，以正本为准。</w:t>
      </w:r>
    </w:p>
    <w:p>
      <w:pPr>
        <w:numPr>
          <w:ilvl w:val="0"/>
          <w:numId w:val="28"/>
        </w:numPr>
        <w:spacing w:line="360" w:lineRule="auto"/>
      </w:pPr>
      <w:r>
        <w:t>投标文件的正本需打印或用不褪色墨水书写，并由法定代表人</w:t>
      </w:r>
      <w:r>
        <w:rPr>
          <w:rFonts w:hint="eastAsia"/>
        </w:rPr>
        <w:t>（或营业执照注明的负责人）</w:t>
      </w:r>
      <w:r>
        <w:t>或经其正式授权的代表签字。授权代表须出具书面授权证明，其《法定代表人</w:t>
      </w:r>
      <w:r>
        <w:rPr>
          <w:rFonts w:hint="eastAsia"/>
        </w:rPr>
        <w:t>（或营业执照注明的负责人）</w:t>
      </w:r>
      <w:r>
        <w:t>授权书》应附在投标文件中。</w:t>
      </w:r>
    </w:p>
    <w:p>
      <w:pPr>
        <w:numPr>
          <w:ilvl w:val="0"/>
          <w:numId w:val="28"/>
        </w:numPr>
        <w:spacing w:line="360" w:lineRule="auto"/>
      </w:pPr>
      <w:r>
        <w:rPr>
          <w:rFonts w:hint="eastAsia"/>
        </w:rPr>
        <w:t>投标文件一般不得涂改和增删，除对差错处做必要修改外，不得行间插字、涂改或增删，如有上述改动，必须由法定代表人（或营业执照注明的负责人）或授权代表签字并加盖投标人公章。</w:t>
      </w:r>
    </w:p>
    <w:p>
      <w:pPr>
        <w:numPr>
          <w:ilvl w:val="0"/>
          <w:numId w:val="28"/>
        </w:numPr>
        <w:spacing w:line="360" w:lineRule="auto"/>
      </w:pPr>
      <w:r>
        <w:rPr>
          <w:rFonts w:hint="eastAsia"/>
        </w:rPr>
        <w:t>若为联合体的，除“联合体协议书”外，投标文件的其它内容可由联合体主体方进行签署即可。</w:t>
      </w:r>
    </w:p>
    <w:p>
      <w:pPr>
        <w:numPr>
          <w:ilvl w:val="0"/>
          <w:numId w:val="28"/>
        </w:numPr>
        <w:spacing w:line="360" w:lineRule="auto"/>
      </w:pPr>
      <w:r>
        <w:rPr>
          <w:rFonts w:hint="eastAsia"/>
        </w:rPr>
        <w:t>投标文件应编制目录，并有页码。</w:t>
      </w:r>
    </w:p>
    <w:p>
      <w:pPr>
        <w:widowControl/>
        <w:autoSpaceDE/>
        <w:autoSpaceDN/>
        <w:rPr>
          <w:sz w:val="20"/>
        </w:rPr>
      </w:pPr>
      <w:r>
        <w:br w:type="page"/>
      </w:r>
    </w:p>
    <w:p>
      <w:pPr>
        <w:pStyle w:val="4"/>
        <w:spacing w:before="240"/>
        <w:ind w:firstLineChars="0"/>
      </w:pPr>
      <w:bookmarkStart w:id="29" w:name="_Toc385940880"/>
      <w:bookmarkStart w:id="30" w:name="_Toc10915"/>
      <w:r>
        <w:rPr>
          <w:rFonts w:hint="eastAsia"/>
        </w:rPr>
        <w:t>四、投标文件的递交</w:t>
      </w:r>
      <w:bookmarkEnd w:id="29"/>
      <w:bookmarkEnd w:id="30"/>
    </w:p>
    <w:p>
      <w:pPr>
        <w:numPr>
          <w:ilvl w:val="3"/>
          <w:numId w:val="2"/>
        </w:numPr>
        <w:tabs>
          <w:tab w:val="center" w:pos="210"/>
          <w:tab w:val="center" w:pos="420"/>
          <w:tab w:val="center" w:pos="630"/>
        </w:tabs>
        <w:spacing w:line="360" w:lineRule="auto"/>
        <w:outlineLvl w:val="2"/>
        <w:rPr>
          <w:b/>
        </w:rPr>
      </w:pPr>
      <w:r>
        <w:rPr>
          <w:rFonts w:hint="eastAsia"/>
          <w:b/>
        </w:rPr>
        <w:t>投标文件的密封和标记</w:t>
      </w:r>
    </w:p>
    <w:p>
      <w:pPr>
        <w:numPr>
          <w:ilvl w:val="0"/>
          <w:numId w:val="29"/>
        </w:numPr>
        <w:spacing w:line="360" w:lineRule="auto"/>
      </w:pPr>
      <w:r>
        <w:rPr>
          <w:rFonts w:hint="eastAsia"/>
        </w:rPr>
        <w:t>投标人正、本副本封面应有 “正本”、“副本”字样；电子文件信封中要求的资料应单独密封后，在电子文件信封封面上作出以下标示：</w:t>
      </w:r>
    </w:p>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6237" w:type="dxa"/>
          </w:tcPr>
          <w:p>
            <w:pPr>
              <w:spacing w:line="360" w:lineRule="auto"/>
              <w:jc w:val="center"/>
              <w:rPr>
                <w:b/>
                <w:bCs/>
                <w:sz w:val="30"/>
                <w:szCs w:val="30"/>
              </w:rPr>
            </w:pPr>
            <w:r>
              <w:rPr>
                <w:rFonts w:hint="eastAsia"/>
                <w:b/>
                <w:bCs/>
                <w:sz w:val="30"/>
                <w:szCs w:val="30"/>
              </w:rPr>
              <w:t>投标文件（电子文件信封）</w:t>
            </w:r>
          </w:p>
          <w:p>
            <w:pPr>
              <w:spacing w:line="400" w:lineRule="exact"/>
              <w:ind w:left="448"/>
              <w:rPr>
                <w:bCs/>
                <w:szCs w:val="21"/>
              </w:rPr>
            </w:pPr>
            <w:r>
              <w:rPr>
                <w:rFonts w:hint="eastAsia"/>
                <w:bCs/>
                <w:szCs w:val="21"/>
              </w:rPr>
              <w:t>采购项目编号：</w:t>
            </w:r>
          </w:p>
          <w:p>
            <w:pPr>
              <w:spacing w:line="400" w:lineRule="exact"/>
              <w:ind w:left="448"/>
              <w:rPr>
                <w:bCs/>
                <w:szCs w:val="21"/>
              </w:rPr>
            </w:pPr>
            <w:r>
              <w:rPr>
                <w:rFonts w:hint="eastAsia"/>
                <w:bCs/>
                <w:szCs w:val="21"/>
              </w:rPr>
              <w:t xml:space="preserve">项目名称： </w:t>
            </w:r>
          </w:p>
          <w:p>
            <w:pPr>
              <w:spacing w:line="400" w:lineRule="exact"/>
              <w:ind w:left="448"/>
              <w:rPr>
                <w:bCs/>
                <w:szCs w:val="21"/>
              </w:rPr>
            </w:pPr>
            <w:r>
              <w:rPr>
                <w:rFonts w:hint="eastAsia"/>
                <w:bCs/>
                <w:szCs w:val="21"/>
              </w:rPr>
              <w:t>投标人名称（盖章）：</w:t>
            </w:r>
          </w:p>
        </w:tc>
      </w:tr>
    </w:tbl>
    <w:p>
      <w:pPr>
        <w:numPr>
          <w:ilvl w:val="0"/>
          <w:numId w:val="29"/>
        </w:numPr>
        <w:spacing w:line="360" w:lineRule="auto"/>
      </w:pPr>
      <w:r>
        <w:rPr>
          <w:rFonts w:hint="eastAsia"/>
        </w:rPr>
        <w:t xml:space="preserve"> 投标文件正本、副本及电子文件信封包封在一起，并在包装的封面上写明：</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jc w:val="center"/>
        </w:trPr>
        <w:tc>
          <w:tcPr>
            <w:tcW w:w="8936" w:type="dxa"/>
          </w:tcPr>
          <w:p>
            <w:pPr>
              <w:spacing w:line="360" w:lineRule="auto"/>
              <w:jc w:val="center"/>
              <w:rPr>
                <w:b/>
                <w:bCs/>
                <w:sz w:val="30"/>
                <w:szCs w:val="30"/>
              </w:rPr>
            </w:pPr>
            <w:r>
              <w:rPr>
                <w:rFonts w:hint="eastAsia"/>
                <w:b/>
                <w:bCs/>
                <w:sz w:val="30"/>
                <w:szCs w:val="30"/>
              </w:rPr>
              <w:t>投标文件</w:t>
            </w:r>
          </w:p>
          <w:p>
            <w:pPr>
              <w:spacing w:line="400" w:lineRule="exact"/>
              <w:ind w:left="448"/>
              <w:rPr>
                <w:bCs/>
                <w:szCs w:val="21"/>
              </w:rPr>
            </w:pPr>
            <w:r>
              <w:rPr>
                <w:rFonts w:hint="eastAsia"/>
                <w:bCs/>
                <w:szCs w:val="21"/>
              </w:rPr>
              <w:t>采购项目编号：</w:t>
            </w:r>
          </w:p>
          <w:p>
            <w:pPr>
              <w:spacing w:line="400" w:lineRule="exact"/>
              <w:ind w:left="448"/>
              <w:rPr>
                <w:bCs/>
                <w:szCs w:val="21"/>
              </w:rPr>
            </w:pPr>
            <w:r>
              <w:rPr>
                <w:rFonts w:hint="eastAsia"/>
                <w:bCs/>
                <w:szCs w:val="21"/>
              </w:rPr>
              <w:t xml:space="preserve">项目名称： </w:t>
            </w:r>
          </w:p>
          <w:p>
            <w:pPr>
              <w:spacing w:line="400" w:lineRule="exact"/>
              <w:ind w:left="448"/>
              <w:rPr>
                <w:bCs/>
                <w:szCs w:val="21"/>
              </w:rPr>
            </w:pPr>
            <w:r>
              <w:rPr>
                <w:rFonts w:hint="eastAsia"/>
                <w:bCs/>
                <w:szCs w:val="21"/>
              </w:rPr>
              <w:t>投标人名称（盖章）：</w:t>
            </w:r>
          </w:p>
          <w:p>
            <w:pPr>
              <w:spacing w:line="400" w:lineRule="exact"/>
              <w:ind w:left="448"/>
              <w:rPr>
                <w:bCs/>
                <w:szCs w:val="21"/>
              </w:rPr>
            </w:pPr>
            <w:r>
              <w:rPr>
                <w:rFonts w:hint="eastAsia"/>
                <w:bCs/>
                <w:szCs w:val="21"/>
              </w:rPr>
              <w:t>投标人地址：</w:t>
            </w:r>
          </w:p>
          <w:p>
            <w:pPr>
              <w:spacing w:line="400" w:lineRule="exact"/>
              <w:ind w:left="448"/>
              <w:rPr>
                <w:bCs/>
                <w:szCs w:val="21"/>
              </w:rPr>
            </w:pPr>
            <w:r>
              <w:rPr>
                <w:rFonts w:hint="eastAsia"/>
                <w:bCs/>
                <w:szCs w:val="21"/>
              </w:rPr>
              <w:t xml:space="preserve">联 系 </w:t>
            </w:r>
            <w:r>
              <w:rPr>
                <w:bCs/>
                <w:szCs w:val="21"/>
              </w:rPr>
              <w:t>人：</w:t>
            </w:r>
          </w:p>
          <w:p>
            <w:pPr>
              <w:spacing w:line="400" w:lineRule="exact"/>
              <w:ind w:left="448"/>
              <w:rPr>
                <w:bCs/>
                <w:szCs w:val="21"/>
              </w:rPr>
            </w:pPr>
            <w:r>
              <w:rPr>
                <w:rFonts w:hint="eastAsia"/>
                <w:bCs/>
                <w:szCs w:val="21"/>
              </w:rPr>
              <w:t>联系</w:t>
            </w:r>
            <w:r>
              <w:rPr>
                <w:bCs/>
                <w:szCs w:val="21"/>
              </w:rPr>
              <w:t>地址</w:t>
            </w:r>
            <w:r>
              <w:rPr>
                <w:rFonts w:hint="eastAsia"/>
                <w:bCs/>
                <w:szCs w:val="21"/>
              </w:rPr>
              <w:t>：</w:t>
            </w:r>
          </w:p>
          <w:p>
            <w:pPr>
              <w:spacing w:line="400" w:lineRule="exact"/>
              <w:ind w:left="448"/>
              <w:jc w:val="center"/>
              <w:rPr>
                <w:b/>
                <w:bCs/>
              </w:rPr>
            </w:pPr>
            <w:r>
              <w:rPr>
                <w:rFonts w:hint="eastAsia"/>
                <w:b/>
                <w:bCs/>
                <w:szCs w:val="21"/>
              </w:rPr>
              <w:t>（注意：       年      月      日     分之前不得开启）</w:t>
            </w:r>
          </w:p>
        </w:tc>
      </w:tr>
    </w:tbl>
    <w:p>
      <w:pPr>
        <w:spacing w:line="360" w:lineRule="auto"/>
        <w:ind w:left="567"/>
      </w:pPr>
    </w:p>
    <w:p>
      <w:pPr>
        <w:numPr>
          <w:ilvl w:val="3"/>
          <w:numId w:val="2"/>
        </w:numPr>
        <w:tabs>
          <w:tab w:val="center" w:pos="210"/>
          <w:tab w:val="center" w:pos="420"/>
          <w:tab w:val="center" w:pos="630"/>
        </w:tabs>
        <w:spacing w:line="360" w:lineRule="auto"/>
        <w:outlineLvl w:val="2"/>
        <w:rPr>
          <w:b/>
        </w:rPr>
      </w:pPr>
      <w:r>
        <w:rPr>
          <w:rFonts w:hint="eastAsia"/>
          <w:b/>
        </w:rPr>
        <w:t>对投标文件投递的要求</w:t>
      </w:r>
    </w:p>
    <w:p>
      <w:pPr>
        <w:numPr>
          <w:ilvl w:val="0"/>
          <w:numId w:val="30"/>
        </w:numPr>
        <w:spacing w:line="360" w:lineRule="auto"/>
      </w:pPr>
      <w:r>
        <w:rPr>
          <w:rFonts w:hint="eastAsia"/>
        </w:rPr>
        <w:t>所有投标文件应于第一部分《投标邀请函》中规定的</w:t>
      </w:r>
      <w:r>
        <w:rPr>
          <w:rFonts w:hint="eastAsia"/>
          <w:szCs w:val="18"/>
        </w:rPr>
        <w:t>投标</w:t>
      </w:r>
      <w:r>
        <w:rPr>
          <w:rFonts w:hint="eastAsia"/>
        </w:rPr>
        <w:t>截止时间前递交到采购代理机构。</w:t>
      </w:r>
    </w:p>
    <w:p>
      <w:pPr>
        <w:numPr>
          <w:ilvl w:val="0"/>
          <w:numId w:val="30"/>
        </w:numPr>
        <w:spacing w:line="360" w:lineRule="auto"/>
      </w:pPr>
      <w:r>
        <w:rPr>
          <w:rFonts w:hint="eastAsia"/>
        </w:rPr>
        <w:t>投标文件的递交须由投标人代表签名确认。</w:t>
      </w:r>
    </w:p>
    <w:p>
      <w:pPr>
        <w:numPr>
          <w:ilvl w:val="0"/>
          <w:numId w:val="30"/>
        </w:numPr>
        <w:spacing w:line="360" w:lineRule="auto"/>
      </w:pPr>
      <w:r>
        <w:rPr>
          <w:rFonts w:hint="eastAsia"/>
        </w:rPr>
        <w:t>所有投标文件必须装在密封完好的封包中。封包的封面按照本章24.2要求标示。</w:t>
      </w:r>
    </w:p>
    <w:p>
      <w:pPr>
        <w:numPr>
          <w:ilvl w:val="3"/>
          <w:numId w:val="2"/>
        </w:numPr>
        <w:spacing w:line="360" w:lineRule="auto"/>
        <w:rPr>
          <w:b/>
        </w:rPr>
      </w:pPr>
      <w:r>
        <w:rPr>
          <w:rFonts w:hint="eastAsia"/>
          <w:b/>
        </w:rPr>
        <w:t>投标文件的修改和撤回</w:t>
      </w:r>
    </w:p>
    <w:p>
      <w:pPr>
        <w:numPr>
          <w:ilvl w:val="0"/>
          <w:numId w:val="31"/>
        </w:numPr>
        <w:spacing w:line="360" w:lineRule="auto"/>
      </w:pPr>
      <w:r>
        <w:rPr>
          <w:rFonts w:hint="eastAsia"/>
        </w:rPr>
        <w:t>投标人在投标截止时间前，可以对所递交的投标文件进行补充、修改或者撤回，并书面通知采购代理机构。补充、修改的内容应当按招标文件要求签署、盖章、密封后作为投标文件的组成部分。</w:t>
      </w:r>
    </w:p>
    <w:p>
      <w:pPr>
        <w:numPr>
          <w:ilvl w:val="0"/>
          <w:numId w:val="31"/>
        </w:numPr>
        <w:spacing w:line="360" w:lineRule="auto"/>
      </w:pPr>
      <w:r>
        <w:rPr>
          <w:rFonts w:hint="eastAsia"/>
        </w:rPr>
        <w:t>在投标截止时间之后，投标人不得对其投标文件做任何修改和补充。</w:t>
      </w:r>
    </w:p>
    <w:p>
      <w:pPr>
        <w:numPr>
          <w:ilvl w:val="0"/>
          <w:numId w:val="31"/>
        </w:numPr>
        <w:spacing w:line="360" w:lineRule="auto"/>
      </w:pPr>
      <w:r>
        <w:rPr>
          <w:rFonts w:hint="eastAsia"/>
        </w:rPr>
        <w:t>采购代理机构不接受电报、电话、电传、传真等形式的投标。</w:t>
      </w:r>
    </w:p>
    <w:p>
      <w:pPr>
        <w:numPr>
          <w:ilvl w:val="0"/>
          <w:numId w:val="31"/>
        </w:numPr>
        <w:spacing w:line="360" w:lineRule="auto"/>
      </w:pPr>
      <w:r>
        <w:rPr>
          <w:rFonts w:hint="eastAsia"/>
        </w:rPr>
        <w:t>投标人在递交投标文件后，可以撤回其投标，但投标人必须在规定的投标截止时间前以书面形式告知采购代理机构。</w:t>
      </w:r>
    </w:p>
    <w:p>
      <w:pPr>
        <w:numPr>
          <w:ilvl w:val="0"/>
          <w:numId w:val="31"/>
        </w:numPr>
        <w:spacing w:line="360" w:lineRule="auto"/>
      </w:pPr>
      <w:r>
        <w:rPr>
          <w:rFonts w:hint="eastAsia"/>
        </w:rPr>
        <w:t>投标人所提交的投标文件在评标结束后，无论中标与否都不退还。</w:t>
      </w:r>
    </w:p>
    <w:p>
      <w:pPr>
        <w:numPr>
          <w:ilvl w:val="0"/>
          <w:numId w:val="31"/>
        </w:numPr>
        <w:spacing w:line="360" w:lineRule="auto"/>
      </w:pPr>
      <w:r>
        <w:rPr>
          <w:rFonts w:hint="eastAsia"/>
        </w:rPr>
        <w:t>采购代理机构对不可抗力事件所造成投标文件的损坏、丢失不承担任何责任。</w:t>
      </w:r>
    </w:p>
    <w:p>
      <w:pPr>
        <w:numPr>
          <w:ilvl w:val="3"/>
          <w:numId w:val="2"/>
        </w:numPr>
        <w:tabs>
          <w:tab w:val="center" w:pos="210"/>
          <w:tab w:val="center" w:pos="420"/>
          <w:tab w:val="center" w:pos="630"/>
        </w:tabs>
        <w:spacing w:line="360" w:lineRule="auto"/>
        <w:outlineLvl w:val="2"/>
        <w:rPr>
          <w:b/>
        </w:rPr>
      </w:pPr>
      <w:r>
        <w:rPr>
          <w:rFonts w:hint="eastAsia"/>
          <w:b/>
        </w:rPr>
        <w:t>投标样品</w:t>
      </w:r>
    </w:p>
    <w:p>
      <w:pPr>
        <w:numPr>
          <w:ilvl w:val="0"/>
          <w:numId w:val="32"/>
        </w:numPr>
        <w:spacing w:line="360" w:lineRule="auto"/>
      </w:pPr>
      <w:r>
        <w:rPr>
          <w:rFonts w:hint="eastAsia"/>
        </w:rPr>
        <w:t>本项目如要求提交投标样品的，采购代理机构在收取样品时没有对样品外观进行验收及性能测试，对样品的破损或质量概不负责。</w:t>
      </w:r>
    </w:p>
    <w:p>
      <w:pPr>
        <w:numPr>
          <w:ilvl w:val="0"/>
          <w:numId w:val="32"/>
        </w:numPr>
        <w:spacing w:line="360" w:lineRule="auto"/>
      </w:pPr>
      <w:r>
        <w:rPr>
          <w:rFonts w:hint="eastAsia"/>
        </w:rPr>
        <w:t>由于采购代理机构存放样品的空间有限，采购活动结束后，未中标人提供的样品，应当在收到采购代理机构退还投标样品通知后7日内取回，否则视同投标人不再认领，采购代理机构有权进行处理。</w:t>
      </w:r>
    </w:p>
    <w:p>
      <w:pPr>
        <w:numPr>
          <w:ilvl w:val="0"/>
          <w:numId w:val="32"/>
        </w:numPr>
        <w:spacing w:line="360" w:lineRule="auto"/>
      </w:pPr>
      <w:r>
        <w:rPr>
          <w:rFonts w:hint="eastAsia"/>
        </w:rPr>
        <w:t>中标人提供的样品，由采购人进行保管、封存，并作为履约验收的证据。</w:t>
      </w:r>
    </w:p>
    <w:p>
      <w:pPr>
        <w:numPr>
          <w:ilvl w:val="3"/>
          <w:numId w:val="2"/>
        </w:numPr>
        <w:tabs>
          <w:tab w:val="center" w:pos="210"/>
          <w:tab w:val="center" w:pos="420"/>
          <w:tab w:val="center" w:pos="630"/>
        </w:tabs>
        <w:spacing w:line="360" w:lineRule="auto"/>
        <w:outlineLvl w:val="2"/>
        <w:rPr>
          <w:b/>
        </w:rPr>
      </w:pPr>
      <w:r>
        <w:rPr>
          <w:rFonts w:hint="eastAsia"/>
          <w:b/>
        </w:rPr>
        <w:t>投标文件的拒收</w:t>
      </w:r>
    </w:p>
    <w:p>
      <w:pPr>
        <w:numPr>
          <w:ilvl w:val="0"/>
          <w:numId w:val="33"/>
        </w:numPr>
        <w:spacing w:line="360" w:lineRule="auto"/>
      </w:pPr>
      <w:r>
        <w:rPr>
          <w:rFonts w:hint="eastAsia"/>
        </w:rPr>
        <w:t>投标文件有下列情形之一的，采购代理机构拒绝收取投标文件：</w:t>
      </w:r>
    </w:p>
    <w:p>
      <w:pPr>
        <w:numPr>
          <w:ilvl w:val="0"/>
          <w:numId w:val="34"/>
        </w:numPr>
        <w:tabs>
          <w:tab w:val="left" w:pos="426"/>
          <w:tab w:val="left" w:pos="851"/>
        </w:tabs>
        <w:spacing w:line="360" w:lineRule="auto"/>
      </w:pPr>
      <w:r>
        <w:rPr>
          <w:rFonts w:hint="eastAsia"/>
        </w:rPr>
        <w:t>在超过投标截止时间送达的或未送达指定地点的；</w:t>
      </w:r>
    </w:p>
    <w:p>
      <w:pPr>
        <w:numPr>
          <w:ilvl w:val="0"/>
          <w:numId w:val="34"/>
        </w:numPr>
        <w:tabs>
          <w:tab w:val="left" w:pos="426"/>
          <w:tab w:val="left" w:pos="851"/>
        </w:tabs>
        <w:spacing w:line="360" w:lineRule="auto"/>
      </w:pPr>
      <w:r>
        <w:rPr>
          <w:rFonts w:hint="eastAsia"/>
        </w:rPr>
        <w:t>未按照招标文件要求密封的投标文件。</w:t>
      </w:r>
    </w:p>
    <w:p>
      <w:pPr>
        <w:spacing w:line="360" w:lineRule="auto"/>
        <w:rPr>
          <w:b/>
        </w:rPr>
      </w:pPr>
    </w:p>
    <w:p>
      <w:pPr>
        <w:pStyle w:val="4"/>
        <w:numPr>
          <w:ilvl w:val="0"/>
          <w:numId w:val="1"/>
        </w:numPr>
        <w:spacing w:before="240"/>
        <w:ind w:firstLine="482"/>
      </w:pPr>
      <w:bookmarkStart w:id="31" w:name="_Toc4175"/>
      <w:r>
        <w:rPr>
          <w:rFonts w:hint="eastAsia"/>
        </w:rPr>
        <w:t>开标、评标定标</w:t>
      </w:r>
      <w:bookmarkEnd w:id="31"/>
    </w:p>
    <w:p>
      <w:pPr>
        <w:numPr>
          <w:ilvl w:val="3"/>
          <w:numId w:val="2"/>
        </w:numPr>
        <w:tabs>
          <w:tab w:val="center" w:pos="210"/>
          <w:tab w:val="center" w:pos="420"/>
          <w:tab w:val="center" w:pos="630"/>
        </w:tabs>
        <w:spacing w:line="360" w:lineRule="auto"/>
        <w:outlineLvl w:val="2"/>
        <w:rPr>
          <w:b/>
        </w:rPr>
      </w:pPr>
      <w:r>
        <w:rPr>
          <w:rFonts w:hint="eastAsia"/>
          <w:b/>
        </w:rPr>
        <w:t>开标</w:t>
      </w:r>
    </w:p>
    <w:p>
      <w:pPr>
        <w:numPr>
          <w:ilvl w:val="0"/>
          <w:numId w:val="35"/>
        </w:numPr>
        <w:spacing w:line="360" w:lineRule="auto"/>
      </w:pPr>
      <w:r>
        <w:rPr>
          <w:rFonts w:hint="eastAsia"/>
        </w:rPr>
        <w:t>采购代理机构在《投标邀请函》中规定的日期、时间和地点组织公开开标。开标由采购代理机构主持，邀请投标人代表参加，评标委员会成员不得参加开标活动。参加开标的代表应签到以证明其出席。</w:t>
      </w:r>
    </w:p>
    <w:p>
      <w:pPr>
        <w:numPr>
          <w:ilvl w:val="0"/>
          <w:numId w:val="35"/>
        </w:numPr>
        <w:spacing w:line="360" w:lineRule="auto"/>
      </w:pPr>
      <w:r>
        <w:rPr>
          <w:rFonts w:hint="eastAsia"/>
        </w:rPr>
        <w:t>开标时，由投标人或投标人推选的代表检查投标文件的密封情况；经确认无误后，由采购代理机构工作人员当众拆封，宣读投标人名称、投标价格和《投标须知前附表》需要公布的其他内容。</w:t>
      </w:r>
    </w:p>
    <w:p>
      <w:pPr>
        <w:numPr>
          <w:ilvl w:val="0"/>
          <w:numId w:val="35"/>
        </w:numPr>
        <w:spacing w:line="360" w:lineRule="auto"/>
      </w:pPr>
      <w:r>
        <w:rPr>
          <w:rFonts w:hint="eastAsia"/>
        </w:rPr>
        <w:t>投标人不足3家的，不得开标。</w:t>
      </w:r>
    </w:p>
    <w:p>
      <w:pPr>
        <w:numPr>
          <w:ilvl w:val="0"/>
          <w:numId w:val="35"/>
        </w:numPr>
        <w:spacing w:line="360" w:lineRule="auto"/>
      </w:pPr>
      <w:r>
        <w:rPr>
          <w:rFonts w:hint="eastAsia"/>
        </w:rPr>
        <w:t>开标过程由采购代理机构负责记录，由参加开标的各投标人代表和相关工作人员签字确认。投标人未参加开标的，视同认可开标结果。</w:t>
      </w:r>
    </w:p>
    <w:p>
      <w:pPr>
        <w:numPr>
          <w:ilvl w:val="0"/>
          <w:numId w:val="35"/>
        </w:numPr>
        <w:spacing w:line="360" w:lineRule="auto"/>
      </w:pPr>
      <w:r>
        <w:rPr>
          <w:rFonts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3"/>
          <w:numId w:val="2"/>
        </w:numPr>
        <w:tabs>
          <w:tab w:val="center" w:pos="210"/>
          <w:tab w:val="center" w:pos="420"/>
          <w:tab w:val="center" w:pos="630"/>
        </w:tabs>
        <w:spacing w:line="360" w:lineRule="auto"/>
        <w:outlineLvl w:val="2"/>
        <w:rPr>
          <w:b/>
        </w:rPr>
      </w:pPr>
      <w:r>
        <w:rPr>
          <w:rFonts w:hint="eastAsia"/>
          <w:b/>
        </w:rPr>
        <w:t>资格性审查</w:t>
      </w:r>
    </w:p>
    <w:p>
      <w:pPr>
        <w:tabs>
          <w:tab w:val="left" w:pos="0"/>
          <w:tab w:val="center" w:pos="210"/>
          <w:tab w:val="center" w:pos="630"/>
        </w:tabs>
        <w:spacing w:line="360" w:lineRule="auto"/>
        <w:ind w:left="624"/>
        <w:rPr>
          <w:szCs w:val="21"/>
        </w:rPr>
      </w:pPr>
      <w:r>
        <w:rPr>
          <w:rFonts w:hint="eastAsia"/>
          <w:szCs w:val="21"/>
        </w:rPr>
        <w:t>开标结束后，采购人或者采购代理机构应当依法对投标人的资格进行审查，合格投标人不足3家的，不得评标。审查内容如下：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360" w:lineRule="auto"/>
              <w:ind w:left="-125" w:leftChars="-57"/>
              <w:jc w:val="center"/>
              <w:rPr>
                <w:b/>
                <w:szCs w:val="21"/>
              </w:rPr>
            </w:pPr>
            <w:r>
              <w:rPr>
                <w:rFonts w:hint="eastAsia"/>
                <w:b/>
                <w:szCs w:val="21"/>
              </w:rPr>
              <w:t>序号</w:t>
            </w:r>
          </w:p>
        </w:tc>
        <w:tc>
          <w:tcPr>
            <w:tcW w:w="8083" w:type="dxa"/>
            <w:vAlign w:val="center"/>
          </w:tcPr>
          <w:p>
            <w:pPr>
              <w:spacing w:line="360" w:lineRule="auto"/>
              <w:jc w:val="center"/>
              <w:rPr>
                <w:b/>
                <w:szCs w:val="21"/>
              </w:rPr>
            </w:pPr>
            <w:r>
              <w:rPr>
                <w:rFonts w:hint="eastAsia"/>
                <w:b/>
                <w:szCs w:val="21"/>
              </w:rPr>
              <w:t>资格性审查内容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1</w:t>
            </w:r>
          </w:p>
        </w:tc>
        <w:tc>
          <w:tcPr>
            <w:tcW w:w="8083" w:type="dxa"/>
            <w:vAlign w:val="center"/>
          </w:tcPr>
          <w:p>
            <w:pPr>
              <w:spacing w:line="276" w:lineRule="auto"/>
              <w:rPr>
                <w:bCs/>
                <w:szCs w:val="20"/>
              </w:rPr>
            </w:pPr>
            <w:r>
              <w:rPr>
                <w:rFonts w:hint="eastAsia"/>
                <w:bCs/>
                <w:szCs w:val="20"/>
              </w:rPr>
              <w:t>符合《中华人民共和国政府采购法》第二十二条及《中华人民共和国政府采购法实施条例》第十七条的规定：</w:t>
            </w:r>
          </w:p>
          <w:p>
            <w:pPr>
              <w:numPr>
                <w:ilvl w:val="1"/>
                <w:numId w:val="36"/>
              </w:numPr>
              <w:spacing w:line="360" w:lineRule="auto"/>
              <w:ind w:left="0" w:firstLine="440" w:firstLineChars="200"/>
              <w:rPr>
                <w:bCs/>
                <w:szCs w:val="20"/>
              </w:rPr>
            </w:pPr>
            <w:r>
              <w:rPr>
                <w:rFonts w:hint="eastAsia"/>
                <w:bCs/>
                <w:szCs w:val="20"/>
              </w:rPr>
              <w:t>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w:t>
            </w:r>
          </w:p>
          <w:p>
            <w:pPr>
              <w:numPr>
                <w:ilvl w:val="1"/>
                <w:numId w:val="36"/>
              </w:numPr>
              <w:spacing w:line="360" w:lineRule="auto"/>
              <w:ind w:left="0" w:firstLine="440" w:firstLineChars="200"/>
              <w:rPr>
                <w:bCs/>
                <w:szCs w:val="20"/>
              </w:rPr>
            </w:pPr>
            <w:r>
              <w:rPr>
                <w:rFonts w:hint="eastAsia"/>
                <w:bCs/>
                <w:szCs w:val="20"/>
              </w:rPr>
              <w:t>提供</w:t>
            </w:r>
            <w:r>
              <w:rPr>
                <w:bCs/>
                <w:szCs w:val="20"/>
              </w:rPr>
              <w:t xml:space="preserve"> 2018 年或 2019 年财务状况报告复印件或银行出具的资信证明材料复印件，(新成立公司提供成立至今的月或季度财务报表复印件)或银行出具的资信证明；</w:t>
            </w:r>
          </w:p>
          <w:p>
            <w:pPr>
              <w:numPr>
                <w:ilvl w:val="1"/>
                <w:numId w:val="36"/>
              </w:numPr>
              <w:spacing w:line="360" w:lineRule="auto"/>
              <w:ind w:left="0" w:firstLine="440" w:firstLineChars="200"/>
              <w:rPr>
                <w:bCs/>
                <w:szCs w:val="20"/>
              </w:rPr>
            </w:pPr>
            <w:r>
              <w:rPr>
                <w:rFonts w:hint="eastAsia"/>
                <w:bCs/>
                <w:szCs w:val="20"/>
              </w:rPr>
              <w:t>具有履行合同所必需的设备和专业技术能力，提供资格声明函；</w:t>
            </w:r>
          </w:p>
          <w:p>
            <w:pPr>
              <w:numPr>
                <w:ilvl w:val="1"/>
                <w:numId w:val="36"/>
              </w:numPr>
              <w:spacing w:line="360" w:lineRule="auto"/>
              <w:ind w:left="0" w:firstLine="440" w:firstLineChars="200"/>
              <w:rPr>
                <w:bCs/>
                <w:szCs w:val="20"/>
              </w:rPr>
            </w:pPr>
            <w:r>
              <w:rPr>
                <w:rFonts w:hint="eastAsia"/>
                <w:bCs/>
                <w:szCs w:val="20"/>
              </w:rPr>
              <w:t>提供 20</w:t>
            </w:r>
            <w:r>
              <w:rPr>
                <w:rFonts w:hint="eastAsia"/>
                <w:bCs/>
                <w:szCs w:val="20"/>
                <w:lang w:val="en-US"/>
              </w:rPr>
              <w:t>20</w:t>
            </w:r>
            <w:r>
              <w:rPr>
                <w:rFonts w:hint="eastAsia"/>
                <w:bCs/>
                <w:szCs w:val="20"/>
              </w:rPr>
              <w:t xml:space="preserve"> 年任意一个月的依法缴纳税收的证明（如纳税凭证）复印件，如依法免税的，应提供相应文件证明其依法免税</w:t>
            </w:r>
          </w:p>
          <w:p>
            <w:pPr>
              <w:numPr>
                <w:ilvl w:val="1"/>
                <w:numId w:val="36"/>
              </w:numPr>
              <w:spacing w:line="360" w:lineRule="auto"/>
              <w:ind w:left="0" w:firstLine="440" w:firstLineChars="200"/>
              <w:rPr>
                <w:bCs/>
                <w:szCs w:val="20"/>
              </w:rPr>
            </w:pPr>
            <w:r>
              <w:rPr>
                <w:rFonts w:hint="eastAsia"/>
                <w:bCs/>
                <w:szCs w:val="20"/>
              </w:rPr>
              <w:t>提供 20</w:t>
            </w:r>
            <w:r>
              <w:rPr>
                <w:rFonts w:hint="eastAsia"/>
                <w:bCs/>
                <w:szCs w:val="20"/>
                <w:lang w:val="en-US"/>
              </w:rPr>
              <w:t>20</w:t>
            </w:r>
            <w:r>
              <w:rPr>
                <w:rFonts w:hint="eastAsia"/>
                <w:bCs/>
                <w:szCs w:val="20"/>
              </w:rPr>
              <w:t xml:space="preserve"> 年任意一个月的依法缴纳社会保险的证明（如缴费凭证）复印件，如依法不需要缴纳社会保障资金的，应提供相应文件证明其依法不需要缴纳社会保障资金</w:t>
            </w:r>
          </w:p>
          <w:p>
            <w:pPr>
              <w:numPr>
                <w:ilvl w:val="1"/>
                <w:numId w:val="36"/>
              </w:numPr>
              <w:spacing w:line="360" w:lineRule="auto"/>
              <w:ind w:left="0" w:firstLine="440" w:firstLineChars="200"/>
              <w:rPr>
                <w:bCs/>
                <w:szCs w:val="20"/>
              </w:rPr>
            </w:pPr>
            <w:r>
              <w:rPr>
                <w:rFonts w:hint="eastAsia"/>
                <w:bCs/>
                <w:szCs w:val="20"/>
              </w:rPr>
              <w:t>参加政府采购活动前三年内，在经营活动中没有重大违法记录，提供资格声明函；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2</w:t>
            </w:r>
          </w:p>
        </w:tc>
        <w:tc>
          <w:tcPr>
            <w:tcW w:w="8083" w:type="dxa"/>
            <w:vAlign w:val="center"/>
          </w:tcPr>
          <w:p>
            <w:pPr>
              <w:spacing w:line="276" w:lineRule="auto"/>
              <w:rPr>
                <w:kern w:val="28"/>
              </w:rPr>
            </w:pPr>
            <w:r>
              <w:rPr>
                <w:rFonts w:hint="eastAsia"/>
                <w:kern w:val="28"/>
              </w:rPr>
              <w:t>未列入失信被执行人、重大税收违法案件当事人名单、政府采购严重违法失信行为记录名单的供应商（以开标当日资格审查人员在“信用中国”网站（</w:t>
            </w:r>
            <w:r>
              <w:fldChar w:fldCharType="begin"/>
            </w:r>
            <w:r>
              <w:instrText xml:space="preserve"> HYPERLINK "qq://txfile/" \h </w:instrText>
            </w:r>
            <w:r>
              <w:fldChar w:fldCharType="separate"/>
            </w:r>
            <w:r>
              <w:rPr>
                <w:rFonts w:hint="eastAsia"/>
                <w:kern w:val="28"/>
              </w:rPr>
              <w:t>www.creditchina.gov.cn</w:t>
            </w:r>
            <w:r>
              <w:rPr>
                <w:rFonts w:hint="eastAsia"/>
                <w:kern w:val="28"/>
              </w:rPr>
              <w:fldChar w:fldCharType="end"/>
            </w:r>
            <w:r>
              <w:rPr>
                <w:rFonts w:hint="eastAsia"/>
                <w:kern w:val="28"/>
              </w:rPr>
              <w:t>）、中国政府采购网（</w:t>
            </w:r>
            <w:r>
              <w:fldChar w:fldCharType="begin"/>
            </w:r>
            <w:r>
              <w:instrText xml:space="preserve"> HYPERLINK "qq://txfile/" \h </w:instrText>
            </w:r>
            <w:r>
              <w:fldChar w:fldCharType="separate"/>
            </w:r>
            <w:r>
              <w:rPr>
                <w:rFonts w:hint="eastAsia"/>
                <w:kern w:val="28"/>
              </w:rPr>
              <w:t>www.ccgp.gov.cn</w:t>
            </w:r>
            <w:r>
              <w:rPr>
                <w:rFonts w:hint="eastAsia"/>
                <w:kern w:val="28"/>
              </w:rPr>
              <w:fldChar w:fldCharType="end"/>
            </w:r>
            <w:r>
              <w:rPr>
                <w:rFonts w:hint="eastAsia"/>
                <w:kern w:val="28"/>
              </w:rPr>
              <w:t>）的查询结果为准；处罚期限届满的除外。如“信用中国”网站查询结果显示“没有找到您搜索的企业”或“没有找到您搜索数据”，视为没有上述三类不良信用记录）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3</w:t>
            </w:r>
          </w:p>
        </w:tc>
        <w:tc>
          <w:tcPr>
            <w:tcW w:w="8083" w:type="dxa"/>
            <w:vAlign w:val="center"/>
          </w:tcPr>
          <w:p>
            <w:pPr>
              <w:spacing w:line="276" w:lineRule="auto"/>
              <w:rPr>
                <w:bCs/>
                <w:szCs w:val="20"/>
                <w:lang w:val="en-US"/>
              </w:rPr>
            </w:pPr>
            <w:r>
              <w:rPr>
                <w:rFonts w:hint="eastAsia"/>
                <w:bCs/>
                <w:szCs w:val="20"/>
              </w:rPr>
              <w:t>投标人须提供《公平竞争承诺书》原件。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4</w:t>
            </w:r>
          </w:p>
        </w:tc>
        <w:tc>
          <w:tcPr>
            <w:tcW w:w="8083" w:type="dxa"/>
            <w:vAlign w:val="center"/>
          </w:tcPr>
          <w:p>
            <w:pPr>
              <w:spacing w:line="276" w:lineRule="auto"/>
              <w:rPr>
                <w:szCs w:val="21"/>
              </w:rPr>
            </w:pPr>
            <w:r>
              <w:rPr>
                <w:rFonts w:hint="eastAsia"/>
                <w:szCs w:val="21"/>
              </w:rPr>
              <w:t>不得参与同一采购项目竞争的供应商（提供资格声明函）：</w:t>
            </w:r>
          </w:p>
          <w:p>
            <w:pPr>
              <w:spacing w:line="276" w:lineRule="auto"/>
              <w:rPr>
                <w:szCs w:val="21"/>
              </w:rPr>
            </w:pPr>
            <w:r>
              <w:rPr>
                <w:rFonts w:hint="eastAsia"/>
                <w:szCs w:val="21"/>
              </w:rPr>
              <w:t>1）单位负责人为同一人或者存在直接控股、管理关系的不同供应商，不得参加同一包组投标或者未划分包组的同一招标项目的政府采购活动。如同时参加，则评审时均作无效投标处理。</w:t>
            </w:r>
          </w:p>
          <w:p>
            <w:pPr>
              <w:spacing w:line="276" w:lineRule="auto"/>
              <w:rPr>
                <w:szCs w:val="21"/>
              </w:rPr>
            </w:pPr>
            <w:r>
              <w:rPr>
                <w:rFonts w:hint="eastAsia"/>
                <w:szCs w:val="21"/>
              </w:rPr>
              <w:t>）为采购项目提供整体设计、规范编制或者项目管理、监理、检测等服务的供应商，不得再参加该采购项目的其他采购活动。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5</w:t>
            </w:r>
          </w:p>
        </w:tc>
        <w:tc>
          <w:tcPr>
            <w:tcW w:w="8083" w:type="dxa"/>
            <w:vAlign w:val="center"/>
          </w:tcPr>
          <w:p>
            <w:pPr>
              <w:spacing w:line="276" w:lineRule="auto"/>
              <w:rPr>
                <w:szCs w:val="21"/>
              </w:rPr>
            </w:pPr>
            <w:r>
              <w:rPr>
                <w:rFonts w:hint="eastAsia"/>
                <w:szCs w:val="21"/>
              </w:rPr>
              <w:t>投标人具有建筑机电安装工程专业承包三级或以上资质，或机电工程施工总承包三级或以上资质。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pPr>
            <w:r>
              <w:rPr>
                <w:rFonts w:hint="eastAsia"/>
              </w:rPr>
              <w:t>6</w:t>
            </w:r>
          </w:p>
        </w:tc>
        <w:tc>
          <w:tcPr>
            <w:tcW w:w="8083" w:type="dxa"/>
            <w:vAlign w:val="center"/>
          </w:tcPr>
          <w:p>
            <w:pPr>
              <w:spacing w:line="276" w:lineRule="auto"/>
              <w:rPr>
                <w:szCs w:val="21"/>
              </w:rPr>
            </w:pPr>
            <w:r>
              <w:rPr>
                <w:rFonts w:hint="eastAsia"/>
                <w:szCs w:val="21"/>
              </w:rPr>
              <w:t>本项目</w:t>
            </w:r>
            <w:r>
              <w:rPr>
                <w:rFonts w:hint="eastAsia"/>
                <w:szCs w:val="21"/>
                <w:lang w:val="en-US"/>
              </w:rPr>
              <w:t>不</w:t>
            </w:r>
            <w:r>
              <w:rPr>
                <w:rFonts w:hint="eastAsia"/>
                <w:szCs w:val="21"/>
              </w:rPr>
              <w:t>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2" w:type="dxa"/>
            <w:vAlign w:val="center"/>
          </w:tcPr>
          <w:p>
            <w:pPr>
              <w:spacing w:line="276" w:lineRule="auto"/>
              <w:jc w:val="center"/>
              <w:rPr>
                <w:lang w:val="en-US"/>
              </w:rPr>
            </w:pPr>
            <w:r>
              <w:rPr>
                <w:rFonts w:hint="eastAsia"/>
                <w:lang w:val="en-US"/>
              </w:rPr>
              <w:t>7</w:t>
            </w:r>
          </w:p>
        </w:tc>
        <w:tc>
          <w:tcPr>
            <w:tcW w:w="8083" w:type="dxa"/>
            <w:vAlign w:val="center"/>
          </w:tcPr>
          <w:p>
            <w:pPr>
              <w:spacing w:line="276" w:lineRule="auto"/>
              <w:rPr>
                <w:szCs w:val="21"/>
              </w:rPr>
            </w:pPr>
            <w:r>
              <w:rPr>
                <w:rFonts w:hint="eastAsia"/>
                <w:szCs w:val="21"/>
              </w:rPr>
              <w:t>已</w:t>
            </w:r>
            <w:r>
              <w:rPr>
                <w:rFonts w:hint="eastAsia"/>
              </w:rPr>
              <w:t>登记报名并获取了招标文件。</w:t>
            </w:r>
          </w:p>
        </w:tc>
      </w:tr>
    </w:tbl>
    <w:p>
      <w:pPr>
        <w:spacing w:line="360" w:lineRule="auto"/>
        <w:ind w:left="1010" w:leftChars="100" w:hanging="790" w:hangingChars="328"/>
        <w:jc w:val="center"/>
        <w:rPr>
          <w:b/>
          <w:sz w:val="24"/>
        </w:rPr>
      </w:pPr>
      <w:r>
        <w:rPr>
          <w:rFonts w:hint="eastAsia"/>
          <w:b/>
          <w:sz w:val="24"/>
        </w:rPr>
        <w:t>资格性审查表</w:t>
      </w:r>
    </w:p>
    <w:p>
      <w:pPr>
        <w:numPr>
          <w:ilvl w:val="3"/>
          <w:numId w:val="2"/>
        </w:numPr>
        <w:tabs>
          <w:tab w:val="center" w:pos="210"/>
          <w:tab w:val="center" w:pos="420"/>
          <w:tab w:val="center" w:pos="630"/>
        </w:tabs>
        <w:spacing w:line="360" w:lineRule="auto"/>
        <w:outlineLvl w:val="2"/>
        <w:rPr>
          <w:b/>
        </w:rPr>
      </w:pPr>
      <w:r>
        <w:rPr>
          <w:rFonts w:hint="eastAsia"/>
          <w:b/>
        </w:rPr>
        <w:t>评标过程的保密性</w:t>
      </w:r>
    </w:p>
    <w:p>
      <w:pPr>
        <w:numPr>
          <w:ilvl w:val="0"/>
          <w:numId w:val="37"/>
        </w:numPr>
        <w:spacing w:line="360" w:lineRule="auto"/>
      </w:pPr>
      <w:r>
        <w:rPr>
          <w:rFonts w:hint="eastAsia"/>
          <w:szCs w:val="21"/>
        </w:rPr>
        <w:t>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pPr>
        <w:numPr>
          <w:ilvl w:val="0"/>
          <w:numId w:val="37"/>
        </w:numPr>
        <w:spacing w:line="360" w:lineRule="auto"/>
      </w:pPr>
      <w:r>
        <w:rPr>
          <w:rFonts w:hint="eastAsia"/>
        </w:rPr>
        <w:t>任何单位和个人不得非法干预、影响评标的过程和结果。</w:t>
      </w:r>
    </w:p>
    <w:p>
      <w:pPr>
        <w:numPr>
          <w:ilvl w:val="3"/>
          <w:numId w:val="2"/>
        </w:numPr>
        <w:tabs>
          <w:tab w:val="center" w:pos="210"/>
          <w:tab w:val="center" w:pos="420"/>
          <w:tab w:val="center" w:pos="630"/>
        </w:tabs>
        <w:spacing w:line="360" w:lineRule="auto"/>
        <w:outlineLvl w:val="2"/>
        <w:rPr>
          <w:b/>
        </w:rPr>
      </w:pPr>
      <w:r>
        <w:rPr>
          <w:rFonts w:hint="eastAsia"/>
          <w:b/>
        </w:rPr>
        <w:t>评标委员会的组成和评标方法</w:t>
      </w:r>
    </w:p>
    <w:p>
      <w:pPr>
        <w:numPr>
          <w:ilvl w:val="0"/>
          <w:numId w:val="38"/>
        </w:numPr>
        <w:spacing w:line="360" w:lineRule="auto"/>
      </w:pPr>
      <w:r>
        <w:rPr>
          <w:rFonts w:hint="eastAsia"/>
        </w:rPr>
        <w:t>评标由采购代理机构依照政府采购法律、法规、规章、政策的规定，组建的评标委员会负责。评标委员会成员由评审专家组成，专家人数（具体组成人数见《投标须知前附表》）及专业构成按政府采购规定确定。评标委员会成员依法从政府采购专家库中随机抽取。</w:t>
      </w:r>
    </w:p>
    <w:p>
      <w:pPr>
        <w:numPr>
          <w:ilvl w:val="0"/>
          <w:numId w:val="38"/>
        </w:numPr>
        <w:spacing w:line="360" w:lineRule="auto"/>
      </w:pPr>
      <w:r>
        <w:rPr>
          <w:rFonts w:hint="eastAsia"/>
          <w:szCs w:val="21"/>
        </w:rPr>
        <w:t>评标委员会应当按照招标文件中规定的评标方法和标准，对符合性审查合格的投标文件进行商务和技术评估，综合比较与评价。</w:t>
      </w:r>
    </w:p>
    <w:p>
      <w:pPr>
        <w:numPr>
          <w:ilvl w:val="0"/>
          <w:numId w:val="38"/>
        </w:numPr>
        <w:spacing w:line="360" w:lineRule="auto"/>
      </w:pPr>
      <w:r>
        <w:rPr>
          <w:rFonts w:hint="eastAsia"/>
        </w:rPr>
        <w:t>评标委员会或者与评标活动有关的工作人员不得泄露有关投标文件的评审和比较、中标候选人的推荐以及与评标有关的其他情况。</w:t>
      </w:r>
    </w:p>
    <w:p>
      <w:pPr>
        <w:numPr>
          <w:ilvl w:val="0"/>
          <w:numId w:val="38"/>
        </w:numPr>
        <w:spacing w:line="360" w:lineRule="auto"/>
      </w:pPr>
      <w:r>
        <w:rPr>
          <w:rFonts w:hint="eastAsia"/>
        </w:rPr>
        <w:t>评审专家不得参与同自己或任职单位有利害关系的政府采购项目评标活动。具有下列情形之一的，评审专家应当主动提出回避，采购人、采购代理机构和政府采购监管部门也可以要求其回避：</w:t>
      </w:r>
    </w:p>
    <w:p>
      <w:pPr>
        <w:numPr>
          <w:ilvl w:val="0"/>
          <w:numId w:val="39"/>
        </w:numPr>
        <w:tabs>
          <w:tab w:val="left" w:pos="426"/>
          <w:tab w:val="left" w:pos="851"/>
        </w:tabs>
        <w:spacing w:line="360" w:lineRule="auto"/>
      </w:pPr>
      <w:r>
        <w:rPr>
          <w:rFonts w:hint="eastAsia"/>
        </w:rPr>
        <w:t>本人、配偶或直系亲属</w:t>
      </w:r>
      <w:r>
        <w:t>3</w:t>
      </w:r>
      <w:r>
        <w:rPr>
          <w:rFonts w:hint="eastAsia"/>
        </w:rPr>
        <w:t>年内曾在参加该采购项目的供应商中任职（包括一般工作）或担任顾问，或与参加该采购项目的供应商发生过法律纠纷；</w:t>
      </w:r>
    </w:p>
    <w:p>
      <w:pPr>
        <w:numPr>
          <w:ilvl w:val="0"/>
          <w:numId w:val="39"/>
        </w:numPr>
        <w:tabs>
          <w:tab w:val="left" w:pos="420"/>
          <w:tab w:val="left" w:pos="1134"/>
        </w:tabs>
        <w:spacing w:line="360" w:lineRule="auto"/>
      </w:pPr>
      <w:r>
        <w:rPr>
          <w:rFonts w:hint="eastAsia"/>
        </w:rPr>
        <w:t>任职单位与采购人或参加该采购项目供应商存在行政隶属关系；</w:t>
      </w:r>
    </w:p>
    <w:p>
      <w:pPr>
        <w:numPr>
          <w:ilvl w:val="0"/>
          <w:numId w:val="39"/>
        </w:numPr>
        <w:tabs>
          <w:tab w:val="left" w:pos="420"/>
          <w:tab w:val="left" w:pos="1134"/>
        </w:tabs>
        <w:spacing w:line="360" w:lineRule="auto"/>
      </w:pPr>
      <w:r>
        <w:rPr>
          <w:rFonts w:hint="eastAsia"/>
        </w:rPr>
        <w:t>曾经参加过该采购项目的进口产品或采购文件、采购需求、采购方式的论证和咨询服务工作；</w:t>
      </w:r>
    </w:p>
    <w:p>
      <w:pPr>
        <w:numPr>
          <w:ilvl w:val="0"/>
          <w:numId w:val="39"/>
        </w:numPr>
        <w:tabs>
          <w:tab w:val="left" w:pos="420"/>
          <w:tab w:val="left" w:pos="1134"/>
        </w:tabs>
        <w:spacing w:line="360" w:lineRule="auto"/>
      </w:pPr>
      <w:r>
        <w:rPr>
          <w:rFonts w:hint="eastAsia"/>
        </w:rPr>
        <w:t>是参加该采购项目供应商的上级主管部门、控股或参股单位的工作人员，或与该供应商存在其他经济利益关系；</w:t>
      </w:r>
    </w:p>
    <w:p>
      <w:pPr>
        <w:numPr>
          <w:ilvl w:val="0"/>
          <w:numId w:val="39"/>
        </w:numPr>
        <w:tabs>
          <w:tab w:val="left" w:pos="420"/>
          <w:tab w:val="left" w:pos="1134"/>
        </w:tabs>
        <w:spacing w:line="360" w:lineRule="auto"/>
      </w:pPr>
      <w:r>
        <w:rPr>
          <w:rFonts w:hint="eastAsia"/>
        </w:rPr>
        <w:t>评审委员会成员之间具有配偶、近亲属关系；</w:t>
      </w:r>
    </w:p>
    <w:p>
      <w:pPr>
        <w:numPr>
          <w:ilvl w:val="0"/>
          <w:numId w:val="39"/>
        </w:numPr>
        <w:tabs>
          <w:tab w:val="left" w:pos="420"/>
          <w:tab w:val="left" w:pos="1134"/>
        </w:tabs>
        <w:spacing w:line="360" w:lineRule="auto"/>
      </w:pPr>
      <w:r>
        <w:rPr>
          <w:rFonts w:hint="eastAsia"/>
        </w:rPr>
        <w:t>同一单位的评审专家在同一项目评审委员会成员中超过两名；</w:t>
      </w:r>
    </w:p>
    <w:p>
      <w:pPr>
        <w:numPr>
          <w:ilvl w:val="0"/>
          <w:numId w:val="39"/>
        </w:numPr>
        <w:tabs>
          <w:tab w:val="left" w:pos="420"/>
          <w:tab w:val="left" w:pos="1134"/>
        </w:tabs>
        <w:spacing w:line="360" w:lineRule="auto"/>
      </w:pPr>
      <w:r>
        <w:rPr>
          <w:rFonts w:hint="eastAsia"/>
        </w:rPr>
        <w:t>其他可能影响评审工作公正性情形。</w:t>
      </w:r>
    </w:p>
    <w:p>
      <w:pPr>
        <w:numPr>
          <w:ilvl w:val="3"/>
          <w:numId w:val="2"/>
        </w:numPr>
        <w:tabs>
          <w:tab w:val="center" w:pos="210"/>
          <w:tab w:val="center" w:pos="420"/>
          <w:tab w:val="center" w:pos="630"/>
        </w:tabs>
        <w:spacing w:line="360" w:lineRule="auto"/>
        <w:outlineLvl w:val="2"/>
        <w:rPr>
          <w:b/>
        </w:rPr>
      </w:pPr>
      <w:r>
        <w:rPr>
          <w:rFonts w:hint="eastAsia"/>
          <w:b/>
        </w:rPr>
        <w:t>评标方法、步骤及标准</w:t>
      </w:r>
    </w:p>
    <w:p>
      <w:pPr>
        <w:numPr>
          <w:ilvl w:val="0"/>
          <w:numId w:val="40"/>
        </w:numPr>
        <w:spacing w:line="360" w:lineRule="auto"/>
        <w:rPr>
          <w:szCs w:val="21"/>
        </w:rPr>
      </w:pPr>
      <w:r>
        <w:rPr>
          <w:rFonts w:hint="eastAsia"/>
          <w:szCs w:val="21"/>
        </w:rPr>
        <w:t>评标方法</w:t>
      </w:r>
    </w:p>
    <w:p>
      <w:pPr>
        <w:numPr>
          <w:ilvl w:val="0"/>
          <w:numId w:val="41"/>
        </w:numPr>
        <w:tabs>
          <w:tab w:val="left" w:pos="945"/>
        </w:tabs>
        <w:spacing w:line="360" w:lineRule="auto"/>
        <w:rPr>
          <w:szCs w:val="21"/>
        </w:rPr>
      </w:pPr>
      <w:r>
        <w:rPr>
          <w:rFonts w:hint="eastAsia"/>
          <w:szCs w:val="21"/>
        </w:rPr>
        <w:t>本次评标采用</w:t>
      </w:r>
      <w:r>
        <w:rPr>
          <w:rFonts w:hint="eastAsia"/>
          <w:szCs w:val="21"/>
          <w:u w:val="single"/>
        </w:rPr>
        <w:t>综合评分法</w:t>
      </w:r>
      <w:r>
        <w:rPr>
          <w:rFonts w:hint="eastAsia"/>
          <w:szCs w:val="21"/>
        </w:rPr>
        <w:t>。综合评分法，是指投标文件满足招标文件全部实质性要求，且按照评审因素的量化指标评审得分最高的投标人为中标候选人的评标方法。</w:t>
      </w:r>
    </w:p>
    <w:p>
      <w:pPr>
        <w:numPr>
          <w:ilvl w:val="0"/>
          <w:numId w:val="41"/>
        </w:numPr>
        <w:tabs>
          <w:tab w:val="left" w:pos="945"/>
        </w:tabs>
        <w:spacing w:line="360" w:lineRule="auto"/>
        <w:rPr>
          <w:szCs w:val="21"/>
        </w:rPr>
      </w:pPr>
      <w:r>
        <w:rPr>
          <w:rFonts w:hint="eastAsia"/>
          <w:szCs w:val="21"/>
        </w:rPr>
        <w:t>本次评标是以招标文件为依据，遵循公开透明原则、公平竞争原则、公正原则和诚实信用原则。</w:t>
      </w:r>
    </w:p>
    <w:p>
      <w:pPr>
        <w:numPr>
          <w:ilvl w:val="0"/>
          <w:numId w:val="40"/>
        </w:numPr>
        <w:spacing w:line="360" w:lineRule="auto"/>
        <w:rPr>
          <w:szCs w:val="21"/>
        </w:rPr>
      </w:pPr>
      <w:r>
        <w:rPr>
          <w:rFonts w:hint="eastAsia"/>
          <w:szCs w:val="21"/>
        </w:rPr>
        <w:t>评标步骤</w:t>
      </w:r>
    </w:p>
    <w:p>
      <w:pPr>
        <w:numPr>
          <w:ilvl w:val="0"/>
          <w:numId w:val="42"/>
        </w:numPr>
        <w:tabs>
          <w:tab w:val="left" w:pos="945"/>
        </w:tabs>
        <w:spacing w:line="360" w:lineRule="auto"/>
        <w:rPr>
          <w:szCs w:val="21"/>
        </w:rPr>
      </w:pPr>
      <w:r>
        <w:rPr>
          <w:rFonts w:hint="eastAsia"/>
          <w:szCs w:val="21"/>
        </w:rPr>
        <w:t>评标委员会先进行符合性审查，再进行商务、技术及价格的详细评估。只有通过符合性审查的投标才能进入详细的评估。最后评标委员会出具评标报告，并按综合得分从高到低排序推荐三名中标候选人。</w:t>
      </w:r>
    </w:p>
    <w:p>
      <w:pPr>
        <w:numPr>
          <w:ilvl w:val="0"/>
          <w:numId w:val="40"/>
        </w:numPr>
        <w:spacing w:line="360" w:lineRule="auto"/>
        <w:rPr>
          <w:szCs w:val="21"/>
        </w:rPr>
      </w:pPr>
      <w:r>
        <w:rPr>
          <w:rFonts w:hint="eastAsia"/>
          <w:szCs w:val="21"/>
        </w:rPr>
        <w:t>评分及其统计</w:t>
      </w:r>
    </w:p>
    <w:p>
      <w:pPr>
        <w:numPr>
          <w:ilvl w:val="0"/>
          <w:numId w:val="43"/>
        </w:numPr>
        <w:tabs>
          <w:tab w:val="left" w:pos="945"/>
        </w:tabs>
        <w:spacing w:line="360" w:lineRule="auto"/>
      </w:pPr>
      <w:r>
        <w:rPr>
          <w:rFonts w:hint="eastAsia"/>
        </w:rPr>
        <w:t>按照评标程序、评分标准以及权重分配的规定，评标委员会各成员分别首先就各个投标人的</w:t>
      </w:r>
      <w:r>
        <w:rPr>
          <w:rFonts w:hint="eastAsia"/>
          <w:szCs w:val="21"/>
        </w:rPr>
        <w:t>服务</w:t>
      </w:r>
      <w:r>
        <w:rPr>
          <w:rFonts w:hint="eastAsia"/>
        </w:rPr>
        <w:t>状况、商务状况及其对招标文件要求的响应情况进行评议和比较，评出其</w:t>
      </w:r>
      <w:r>
        <w:rPr>
          <w:rFonts w:hint="eastAsia"/>
          <w:szCs w:val="21"/>
        </w:rPr>
        <w:t>服务</w:t>
      </w:r>
      <w:r>
        <w:rPr>
          <w:rFonts w:hint="eastAsia"/>
        </w:rPr>
        <w:t>评分和商务评分。各评委的</w:t>
      </w:r>
      <w:r>
        <w:rPr>
          <w:rFonts w:hint="eastAsia"/>
          <w:szCs w:val="21"/>
        </w:rPr>
        <w:t>服务</w:t>
      </w:r>
      <w:r>
        <w:rPr>
          <w:rFonts w:hint="eastAsia"/>
        </w:rPr>
        <w:t>或商务评分的算术平均值即为该投标人的</w:t>
      </w:r>
      <w:r>
        <w:rPr>
          <w:rFonts w:hint="eastAsia"/>
          <w:szCs w:val="21"/>
        </w:rPr>
        <w:t>服务</w:t>
      </w:r>
      <w:r>
        <w:rPr>
          <w:rFonts w:hint="eastAsia"/>
        </w:rPr>
        <w:t>或商务评分。然后，评出投标人的投标报价得分。将各投标人的</w:t>
      </w:r>
      <w:r>
        <w:rPr>
          <w:rFonts w:hint="eastAsia"/>
          <w:szCs w:val="21"/>
        </w:rPr>
        <w:t>服务</w:t>
      </w:r>
      <w:r>
        <w:rPr>
          <w:rFonts w:hint="eastAsia"/>
        </w:rPr>
        <w:t>评分、商务评分和投标报价得分相加得出其综合得分。将各综合得分由高到低顺序排列，依次推荐前</w:t>
      </w:r>
      <w:r>
        <w:rPr>
          <w:rFonts w:hint="eastAsia"/>
          <w:lang w:val="en-US"/>
        </w:rPr>
        <w:t>两</w:t>
      </w:r>
      <w:r>
        <w:rPr>
          <w:rFonts w:hint="eastAsia"/>
        </w:rPr>
        <w:t>名为中标候选人。</w:t>
      </w:r>
    </w:p>
    <w:p>
      <w:pPr>
        <w:numPr>
          <w:ilvl w:val="0"/>
          <w:numId w:val="43"/>
        </w:numPr>
        <w:tabs>
          <w:tab w:val="left" w:pos="945"/>
        </w:tabs>
        <w:spacing w:line="360" w:lineRule="auto"/>
      </w:pPr>
      <w:r>
        <w:rPr>
          <w:rFonts w:hint="eastAsia"/>
          <w:szCs w:val="21"/>
        </w:rPr>
        <w:t>评标时，评标委员会各成员应当独立对每个投标人的投标文件进行评价，并汇总每个投标人的得分。</w:t>
      </w:r>
    </w:p>
    <w:p>
      <w:pPr>
        <w:numPr>
          <w:ilvl w:val="3"/>
          <w:numId w:val="2"/>
        </w:numPr>
        <w:tabs>
          <w:tab w:val="center" w:pos="210"/>
          <w:tab w:val="center" w:pos="420"/>
          <w:tab w:val="center" w:pos="630"/>
        </w:tabs>
        <w:spacing w:line="360" w:lineRule="auto"/>
        <w:outlineLvl w:val="2"/>
        <w:rPr>
          <w:b/>
          <w:szCs w:val="21"/>
        </w:rPr>
      </w:pPr>
      <w:r>
        <w:rPr>
          <w:rFonts w:hint="eastAsia"/>
          <w:szCs w:val="21"/>
        </w:rPr>
        <w:t>评标委员会成员对需要共同认定的事项存在争议的，应当按照少数服从多数的原则作出结论。持不同意见的评标委员会成员应当在评标报告上签署不同意见及理由，否则视为同意评标报告。</w:t>
      </w:r>
    </w:p>
    <w:p>
      <w:pPr>
        <w:numPr>
          <w:ilvl w:val="3"/>
          <w:numId w:val="2"/>
        </w:numPr>
        <w:tabs>
          <w:tab w:val="center" w:pos="210"/>
          <w:tab w:val="center" w:pos="420"/>
          <w:tab w:val="center" w:pos="630"/>
        </w:tabs>
        <w:spacing w:line="360" w:lineRule="auto"/>
        <w:outlineLvl w:val="2"/>
        <w:rPr>
          <w:b/>
          <w:szCs w:val="21"/>
        </w:rPr>
      </w:pPr>
      <w:r>
        <w:rPr>
          <w:rFonts w:hint="eastAsia"/>
          <w:b/>
          <w:szCs w:val="21"/>
        </w:rPr>
        <w:t>符合性评审</w:t>
      </w:r>
    </w:p>
    <w:p>
      <w:pPr>
        <w:numPr>
          <w:ilvl w:val="0"/>
          <w:numId w:val="44"/>
        </w:numPr>
        <w:spacing w:line="360" w:lineRule="auto"/>
      </w:pPr>
      <w:r>
        <w:rPr>
          <w:rFonts w:hint="eastAsia"/>
          <w:szCs w:val="21"/>
        </w:rPr>
        <w:t>评标委员会应当对符合资格的投标人的投标文件</w:t>
      </w:r>
      <w:r>
        <w:rPr>
          <w:rFonts w:hint="eastAsia"/>
        </w:rPr>
        <w:t>按照以下《符合性</w:t>
      </w:r>
      <w:r>
        <w:rPr>
          <w:rFonts w:hint="eastAsia"/>
          <w:szCs w:val="21"/>
        </w:rPr>
        <w:t>审查</w:t>
      </w:r>
      <w:r>
        <w:rPr>
          <w:rFonts w:hint="eastAsia"/>
        </w:rPr>
        <w:t>表》内容</w:t>
      </w:r>
      <w:r>
        <w:rPr>
          <w:rFonts w:hint="eastAsia"/>
          <w:szCs w:val="21"/>
        </w:rPr>
        <w:t>进行符合性审查，以确定其是否满足招标文件的实质性要求。</w:t>
      </w:r>
      <w:r>
        <w:rPr>
          <w:rFonts w:hint="eastAsia"/>
        </w:rPr>
        <w:t>只有对《符合性</w:t>
      </w:r>
      <w:r>
        <w:rPr>
          <w:rFonts w:hint="eastAsia"/>
          <w:szCs w:val="21"/>
        </w:rPr>
        <w:t>审查</w:t>
      </w:r>
      <w:r>
        <w:rPr>
          <w:rFonts w:hint="eastAsia"/>
        </w:rPr>
        <w:t>表》所列各项内容全部作出实质性响应的投标文件才能通过</w:t>
      </w:r>
      <w:r>
        <w:rPr>
          <w:rFonts w:hint="eastAsia"/>
          <w:szCs w:val="21"/>
        </w:rPr>
        <w:t>符合性审查</w:t>
      </w:r>
      <w:r>
        <w:rPr>
          <w:rFonts w:hint="eastAsia"/>
        </w:rPr>
        <w:t>。对是否实质性响应《符合性</w:t>
      </w:r>
      <w:r>
        <w:rPr>
          <w:rFonts w:hint="eastAsia"/>
          <w:szCs w:val="21"/>
        </w:rPr>
        <w:t>审查</w:t>
      </w:r>
      <w:r>
        <w:rPr>
          <w:rFonts w:hint="eastAsia"/>
        </w:rPr>
        <w:t>表》所列各项内容有争议的投标文件，评标委员按照少数服从多数的原则以记名方式进行投票表决，只有得票超过半数的投标文件才能进入下一阶段的详细评估，否则认定为无效投标。</w:t>
      </w:r>
    </w:p>
    <w:p>
      <w:pPr>
        <w:spacing w:line="360" w:lineRule="auto"/>
        <w:ind w:left="113"/>
        <w:jc w:val="center"/>
        <w:rPr>
          <w:szCs w:val="21"/>
        </w:rPr>
      </w:pPr>
      <w:r>
        <w:rPr>
          <w:rFonts w:hint="eastAsia"/>
          <w:b/>
          <w:sz w:val="24"/>
        </w:rPr>
        <w:t>符合性审查表</w:t>
      </w:r>
    </w:p>
    <w:tbl>
      <w:tblPr>
        <w:tblStyle w:val="19"/>
        <w:tblW w:w="94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8"/>
        <w:gridCol w:w="4983"/>
        <w:gridCol w:w="1051"/>
        <w:gridCol w:w="1049"/>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6301" w:type="dxa"/>
            <w:gridSpan w:val="2"/>
            <w:tcBorders>
              <w:bottom w:val="single" w:color="000000" w:sz="6" w:space="0"/>
              <w:right w:val="single" w:color="000000" w:sz="6" w:space="0"/>
            </w:tcBorders>
          </w:tcPr>
          <w:p>
            <w:pPr>
              <w:pStyle w:val="23"/>
              <w:spacing w:before="11"/>
              <w:rPr>
                <w:b/>
                <w:sz w:val="14"/>
              </w:rPr>
            </w:pPr>
          </w:p>
          <w:p>
            <w:pPr>
              <w:pStyle w:val="23"/>
              <w:ind w:left="2712" w:right="2698"/>
              <w:jc w:val="center"/>
              <w:rPr>
                <w:sz w:val="21"/>
              </w:rPr>
            </w:pPr>
            <w:r>
              <w:rPr>
                <w:sz w:val="21"/>
              </w:rPr>
              <w:t>评审内容</w:t>
            </w:r>
          </w:p>
        </w:tc>
        <w:tc>
          <w:tcPr>
            <w:tcW w:w="1051" w:type="dxa"/>
            <w:tcBorders>
              <w:left w:val="single" w:color="000000" w:sz="6" w:space="0"/>
              <w:bottom w:val="single" w:color="000000" w:sz="6" w:space="0"/>
              <w:right w:val="single" w:color="000000" w:sz="6" w:space="0"/>
            </w:tcBorders>
          </w:tcPr>
          <w:p>
            <w:pPr>
              <w:pStyle w:val="23"/>
              <w:spacing w:before="11"/>
              <w:rPr>
                <w:b/>
                <w:sz w:val="14"/>
              </w:rPr>
            </w:pPr>
          </w:p>
          <w:p>
            <w:pPr>
              <w:pStyle w:val="23"/>
              <w:ind w:left="127"/>
              <w:rPr>
                <w:sz w:val="21"/>
              </w:rPr>
            </w:pPr>
            <w:r>
              <w:rPr>
                <w:sz w:val="21"/>
              </w:rPr>
              <w:t>投标人 A</w:t>
            </w:r>
          </w:p>
        </w:tc>
        <w:tc>
          <w:tcPr>
            <w:tcW w:w="1049" w:type="dxa"/>
            <w:tcBorders>
              <w:left w:val="single" w:color="000000" w:sz="6" w:space="0"/>
              <w:bottom w:val="single" w:color="000000" w:sz="6" w:space="0"/>
              <w:right w:val="single" w:color="000000" w:sz="6" w:space="0"/>
            </w:tcBorders>
          </w:tcPr>
          <w:p>
            <w:pPr>
              <w:pStyle w:val="23"/>
              <w:spacing w:before="11"/>
              <w:rPr>
                <w:b/>
                <w:sz w:val="14"/>
              </w:rPr>
            </w:pPr>
          </w:p>
          <w:p>
            <w:pPr>
              <w:pStyle w:val="23"/>
              <w:ind w:left="125"/>
              <w:rPr>
                <w:sz w:val="21"/>
              </w:rPr>
            </w:pPr>
            <w:r>
              <w:rPr>
                <w:sz w:val="21"/>
              </w:rPr>
              <w:t>投标人 B</w:t>
            </w:r>
          </w:p>
        </w:tc>
        <w:tc>
          <w:tcPr>
            <w:tcW w:w="1051" w:type="dxa"/>
            <w:tcBorders>
              <w:left w:val="single" w:color="000000" w:sz="6" w:space="0"/>
              <w:bottom w:val="single" w:color="000000" w:sz="6" w:space="0"/>
            </w:tcBorders>
          </w:tcPr>
          <w:p>
            <w:pPr>
              <w:pStyle w:val="23"/>
              <w:spacing w:before="11"/>
              <w:rPr>
                <w:b/>
                <w:sz w:val="14"/>
              </w:rPr>
            </w:pPr>
          </w:p>
          <w:p>
            <w:pPr>
              <w:pStyle w:val="23"/>
              <w:ind w:left="127"/>
              <w:rPr>
                <w:sz w:val="21"/>
              </w:rPr>
            </w:pPr>
            <w:r>
              <w:rPr>
                <w:sz w:val="21"/>
              </w:rPr>
              <w:t>投标人 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318" w:type="dxa"/>
            <w:vMerge w:val="restart"/>
            <w:tcBorders>
              <w:top w:val="nil"/>
              <w:right w:val="single" w:color="000000" w:sz="6" w:space="0"/>
            </w:tcBorders>
          </w:tcPr>
          <w:p>
            <w:pPr>
              <w:rPr>
                <w:sz w:val="2"/>
                <w:szCs w:val="2"/>
              </w:rPr>
            </w:pPr>
          </w:p>
        </w:tc>
        <w:tc>
          <w:tcPr>
            <w:tcW w:w="4983" w:type="dxa"/>
            <w:tcBorders>
              <w:top w:val="single" w:color="000000" w:sz="6" w:space="0"/>
              <w:left w:val="single" w:color="000000" w:sz="6" w:space="0"/>
              <w:bottom w:val="single" w:color="000000" w:sz="6" w:space="0"/>
              <w:right w:val="single" w:color="000000" w:sz="6" w:space="0"/>
            </w:tcBorders>
          </w:tcPr>
          <w:p>
            <w:pPr>
              <w:pStyle w:val="23"/>
              <w:spacing w:before="12"/>
              <w:rPr>
                <w:b/>
                <w:sz w:val="15"/>
              </w:rPr>
            </w:pPr>
          </w:p>
          <w:p>
            <w:pPr>
              <w:pStyle w:val="23"/>
              <w:ind w:left="102"/>
              <w:rPr>
                <w:sz w:val="21"/>
              </w:rPr>
            </w:pPr>
            <w:r>
              <w:rPr>
                <w:sz w:val="21"/>
              </w:rPr>
              <w:t>符合投标有效期</w:t>
            </w:r>
          </w:p>
        </w:tc>
        <w:tc>
          <w:tcPr>
            <w:tcW w:w="1051"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bottom w:val="single" w:color="000000" w:sz="6" w:space="0"/>
            </w:tcBorders>
          </w:tcPr>
          <w:p>
            <w:pPr>
              <w:pStyle w:val="23"/>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318" w:type="dxa"/>
            <w:vMerge w:val="continue"/>
            <w:tcBorders>
              <w:top w:val="nil"/>
              <w:bottom w:val="single" w:color="000000" w:sz="6" w:space="0"/>
              <w:right w:val="single" w:color="000000" w:sz="6" w:space="0"/>
            </w:tcBorders>
          </w:tcPr>
          <w:p>
            <w:pPr>
              <w:rPr>
                <w:sz w:val="2"/>
                <w:szCs w:val="2"/>
              </w:rPr>
            </w:pPr>
          </w:p>
        </w:tc>
        <w:tc>
          <w:tcPr>
            <w:tcW w:w="4983" w:type="dxa"/>
            <w:tcBorders>
              <w:top w:val="single" w:color="000000" w:sz="6" w:space="0"/>
              <w:left w:val="single" w:color="000000" w:sz="6" w:space="0"/>
              <w:bottom w:val="single" w:color="000000" w:sz="6" w:space="0"/>
              <w:right w:val="single" w:color="000000" w:sz="6" w:space="0"/>
            </w:tcBorders>
          </w:tcPr>
          <w:p>
            <w:pPr>
              <w:pStyle w:val="23"/>
              <w:spacing w:before="2"/>
              <w:rPr>
                <w:b/>
                <w:sz w:val="16"/>
              </w:rPr>
            </w:pPr>
          </w:p>
          <w:p>
            <w:pPr>
              <w:pStyle w:val="23"/>
              <w:ind w:left="102"/>
              <w:rPr>
                <w:sz w:val="21"/>
              </w:rPr>
            </w:pPr>
            <w:r>
              <w:rPr>
                <w:sz w:val="21"/>
              </w:rPr>
              <w:t>投标文件按照招标文件规定要求签署、盖章</w:t>
            </w:r>
          </w:p>
        </w:tc>
        <w:tc>
          <w:tcPr>
            <w:tcW w:w="1051"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bottom w:val="single" w:color="000000" w:sz="6" w:space="0"/>
            </w:tcBorders>
          </w:tcPr>
          <w:p>
            <w:pPr>
              <w:pStyle w:val="23"/>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318" w:type="dxa"/>
            <w:vMerge w:val="continue"/>
            <w:tcBorders>
              <w:top w:val="nil"/>
              <w:bottom w:val="single" w:color="000000" w:sz="6" w:space="0"/>
              <w:right w:val="single" w:color="000000" w:sz="6" w:space="0"/>
            </w:tcBorders>
          </w:tcPr>
          <w:p>
            <w:pPr>
              <w:rPr>
                <w:sz w:val="2"/>
                <w:szCs w:val="2"/>
              </w:rPr>
            </w:pPr>
          </w:p>
        </w:tc>
        <w:tc>
          <w:tcPr>
            <w:tcW w:w="4983" w:type="dxa"/>
            <w:tcBorders>
              <w:top w:val="single" w:color="000000" w:sz="6" w:space="0"/>
              <w:left w:val="single" w:color="000000" w:sz="6" w:space="0"/>
              <w:bottom w:val="single" w:color="000000" w:sz="6" w:space="0"/>
              <w:right w:val="single" w:color="000000" w:sz="6" w:space="0"/>
            </w:tcBorders>
          </w:tcPr>
          <w:p>
            <w:pPr>
              <w:pStyle w:val="23"/>
              <w:spacing w:before="12"/>
              <w:rPr>
                <w:b/>
                <w:sz w:val="15"/>
              </w:rPr>
            </w:pPr>
          </w:p>
          <w:p>
            <w:pPr>
              <w:pStyle w:val="23"/>
              <w:ind w:left="102"/>
              <w:rPr>
                <w:sz w:val="21"/>
              </w:rPr>
            </w:pPr>
            <w:r>
              <w:rPr>
                <w:sz w:val="21"/>
              </w:rPr>
              <w:t>投标报价没有超出最高限价</w:t>
            </w:r>
          </w:p>
        </w:tc>
        <w:tc>
          <w:tcPr>
            <w:tcW w:w="1051"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bottom w:val="single" w:color="000000" w:sz="6" w:space="0"/>
            </w:tcBorders>
          </w:tcPr>
          <w:p>
            <w:pPr>
              <w:pStyle w:val="23"/>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318" w:type="dxa"/>
            <w:vMerge w:val="continue"/>
            <w:tcBorders>
              <w:top w:val="nil"/>
              <w:bottom w:val="single" w:color="000000" w:sz="6" w:space="0"/>
              <w:right w:val="single" w:color="000000" w:sz="6" w:space="0"/>
            </w:tcBorders>
          </w:tcPr>
          <w:p>
            <w:pPr>
              <w:rPr>
                <w:sz w:val="2"/>
                <w:szCs w:val="2"/>
              </w:rPr>
            </w:pPr>
          </w:p>
        </w:tc>
        <w:tc>
          <w:tcPr>
            <w:tcW w:w="4983" w:type="dxa"/>
            <w:tcBorders>
              <w:top w:val="single" w:color="000000" w:sz="6" w:space="0"/>
              <w:left w:val="single" w:color="000000" w:sz="6" w:space="0"/>
              <w:bottom w:val="single" w:color="000000" w:sz="6" w:space="0"/>
              <w:right w:val="single" w:color="000000" w:sz="6" w:space="0"/>
            </w:tcBorders>
          </w:tcPr>
          <w:p>
            <w:pPr>
              <w:pStyle w:val="23"/>
              <w:rPr>
                <w:b/>
                <w:sz w:val="16"/>
              </w:rPr>
            </w:pPr>
          </w:p>
          <w:p>
            <w:pPr>
              <w:pStyle w:val="23"/>
              <w:ind w:left="102"/>
              <w:rPr>
                <w:sz w:val="21"/>
              </w:rPr>
            </w:pPr>
            <w:r>
              <w:rPr>
                <w:sz w:val="21"/>
              </w:rPr>
              <w:t>完全满足招标文件中标注“★”的条款</w:t>
            </w:r>
          </w:p>
        </w:tc>
        <w:tc>
          <w:tcPr>
            <w:tcW w:w="1051"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bottom w:val="single" w:color="000000" w:sz="6" w:space="0"/>
            </w:tcBorders>
          </w:tcPr>
          <w:p>
            <w:pPr>
              <w:pStyle w:val="23"/>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318" w:type="dxa"/>
            <w:vMerge w:val="continue"/>
            <w:tcBorders>
              <w:top w:val="nil"/>
              <w:bottom w:val="single" w:color="000000" w:sz="6" w:space="0"/>
              <w:right w:val="single" w:color="000000" w:sz="6" w:space="0"/>
            </w:tcBorders>
          </w:tcPr>
          <w:p>
            <w:pPr>
              <w:rPr>
                <w:sz w:val="2"/>
                <w:szCs w:val="2"/>
              </w:rPr>
            </w:pPr>
          </w:p>
        </w:tc>
        <w:tc>
          <w:tcPr>
            <w:tcW w:w="4983" w:type="dxa"/>
            <w:tcBorders>
              <w:top w:val="single" w:color="000000" w:sz="6" w:space="0"/>
              <w:left w:val="single" w:color="000000" w:sz="6" w:space="0"/>
              <w:bottom w:val="single" w:color="000000" w:sz="6" w:space="0"/>
              <w:right w:val="single" w:color="000000" w:sz="6" w:space="0"/>
            </w:tcBorders>
          </w:tcPr>
          <w:p>
            <w:pPr>
              <w:pStyle w:val="23"/>
              <w:spacing w:before="44"/>
              <w:ind w:left="102"/>
              <w:rPr>
                <w:sz w:val="21"/>
              </w:rPr>
            </w:pPr>
            <w:r>
              <w:rPr>
                <w:sz w:val="21"/>
              </w:rPr>
              <w:t>未出现有关法律、法规、规章或招标文件规定的属于</w:t>
            </w:r>
          </w:p>
          <w:p>
            <w:pPr>
              <w:pStyle w:val="23"/>
              <w:spacing w:before="57"/>
              <w:ind w:left="102"/>
              <w:rPr>
                <w:sz w:val="21"/>
              </w:rPr>
            </w:pPr>
            <w:r>
              <w:rPr>
                <w:sz w:val="21"/>
              </w:rPr>
              <w:t>投标无效的情形</w:t>
            </w:r>
          </w:p>
        </w:tc>
        <w:tc>
          <w:tcPr>
            <w:tcW w:w="1051"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bottom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bottom w:val="single" w:color="000000" w:sz="6" w:space="0"/>
            </w:tcBorders>
          </w:tcPr>
          <w:p>
            <w:pPr>
              <w:pStyle w:val="23"/>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1318" w:type="dxa"/>
            <w:tcBorders>
              <w:top w:val="single" w:color="000000" w:sz="6" w:space="0"/>
              <w:right w:val="single" w:color="000000" w:sz="6" w:space="0"/>
            </w:tcBorders>
          </w:tcPr>
          <w:p>
            <w:pPr>
              <w:pStyle w:val="23"/>
              <w:spacing w:before="5"/>
              <w:rPr>
                <w:b/>
                <w:sz w:val="21"/>
              </w:rPr>
            </w:pPr>
          </w:p>
          <w:p>
            <w:pPr>
              <w:pStyle w:val="23"/>
              <w:ind w:left="451"/>
              <w:rPr>
                <w:sz w:val="21"/>
              </w:rPr>
            </w:pPr>
            <w:r>
              <w:rPr>
                <w:sz w:val="21"/>
              </w:rPr>
              <w:t>结论</w:t>
            </w:r>
          </w:p>
        </w:tc>
        <w:tc>
          <w:tcPr>
            <w:tcW w:w="4983" w:type="dxa"/>
            <w:tcBorders>
              <w:top w:val="single" w:color="000000" w:sz="6" w:space="0"/>
              <w:left w:val="single" w:color="000000" w:sz="6" w:space="0"/>
              <w:right w:val="single" w:color="000000" w:sz="6" w:space="0"/>
            </w:tcBorders>
          </w:tcPr>
          <w:p>
            <w:pPr>
              <w:pStyle w:val="23"/>
              <w:spacing w:before="111"/>
              <w:ind w:left="102"/>
              <w:rPr>
                <w:sz w:val="21"/>
              </w:rPr>
            </w:pPr>
            <w:r>
              <w:rPr>
                <w:sz w:val="21"/>
              </w:rPr>
              <w:t>是否同意进入下一阶段评议</w:t>
            </w:r>
          </w:p>
          <w:p>
            <w:pPr>
              <w:pStyle w:val="23"/>
              <w:spacing w:before="57"/>
              <w:ind w:left="102"/>
              <w:rPr>
                <w:sz w:val="21"/>
              </w:rPr>
            </w:pPr>
            <w:r>
              <w:rPr>
                <w:sz w:val="21"/>
              </w:rPr>
              <w:t>（</w:t>
            </w:r>
            <w:r>
              <w:rPr>
                <w:spacing w:val="-13"/>
                <w:sz w:val="21"/>
              </w:rPr>
              <w:t>写“同意”或“不同意”</w:t>
            </w:r>
            <w:r>
              <w:rPr>
                <w:sz w:val="21"/>
              </w:rPr>
              <w:t>）</w:t>
            </w:r>
          </w:p>
        </w:tc>
        <w:tc>
          <w:tcPr>
            <w:tcW w:w="1051" w:type="dxa"/>
            <w:tcBorders>
              <w:top w:val="single" w:color="000000" w:sz="6" w:space="0"/>
              <w:left w:val="single" w:color="000000" w:sz="6" w:space="0"/>
              <w:right w:val="single" w:color="000000" w:sz="6" w:space="0"/>
            </w:tcBorders>
          </w:tcPr>
          <w:p>
            <w:pPr>
              <w:pStyle w:val="23"/>
              <w:rPr>
                <w:rFonts w:ascii="Times New Roman"/>
                <w:sz w:val="20"/>
              </w:rPr>
            </w:pPr>
          </w:p>
        </w:tc>
        <w:tc>
          <w:tcPr>
            <w:tcW w:w="1049" w:type="dxa"/>
            <w:tcBorders>
              <w:top w:val="single" w:color="000000" w:sz="6" w:space="0"/>
              <w:left w:val="single" w:color="000000" w:sz="6" w:space="0"/>
              <w:right w:val="single" w:color="000000" w:sz="6" w:space="0"/>
            </w:tcBorders>
          </w:tcPr>
          <w:p>
            <w:pPr>
              <w:pStyle w:val="23"/>
              <w:rPr>
                <w:rFonts w:ascii="Times New Roman"/>
                <w:sz w:val="20"/>
              </w:rPr>
            </w:pPr>
          </w:p>
        </w:tc>
        <w:tc>
          <w:tcPr>
            <w:tcW w:w="1051" w:type="dxa"/>
            <w:tcBorders>
              <w:top w:val="single" w:color="000000" w:sz="6" w:space="0"/>
              <w:left w:val="single" w:color="000000" w:sz="6" w:space="0"/>
            </w:tcBorders>
          </w:tcPr>
          <w:p>
            <w:pPr>
              <w:pStyle w:val="23"/>
              <w:rPr>
                <w:rFonts w:ascii="Times New Roman"/>
                <w:sz w:val="20"/>
              </w:rPr>
            </w:pPr>
          </w:p>
        </w:tc>
      </w:tr>
    </w:tbl>
    <w:p>
      <w:pPr>
        <w:numPr>
          <w:ilvl w:val="0"/>
          <w:numId w:val="44"/>
        </w:numPr>
        <w:spacing w:line="360" w:lineRule="auto"/>
      </w:pPr>
      <w:r>
        <w:rPr>
          <w:rFonts w:hint="eastAsia"/>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numPr>
          <w:ilvl w:val="0"/>
          <w:numId w:val="44"/>
        </w:numPr>
        <w:spacing w:line="360" w:lineRule="auto"/>
      </w:pPr>
      <w:r>
        <w:rPr>
          <w:rFonts w:hint="eastAsia"/>
        </w:rPr>
        <w:t>如果通过</w:t>
      </w:r>
      <w:r>
        <w:rPr>
          <w:rFonts w:hint="eastAsia"/>
          <w:szCs w:val="21"/>
        </w:rPr>
        <w:t>符合性审查</w:t>
      </w:r>
      <w:r>
        <w:rPr>
          <w:rFonts w:hint="eastAsia"/>
        </w:rPr>
        <w:t>合格投标人不足3家的，本次招标采购失败。</w:t>
      </w:r>
    </w:p>
    <w:p>
      <w:pPr>
        <w:numPr>
          <w:ilvl w:val="3"/>
          <w:numId w:val="2"/>
        </w:numPr>
        <w:tabs>
          <w:tab w:val="center" w:pos="210"/>
          <w:tab w:val="center" w:pos="420"/>
          <w:tab w:val="center" w:pos="630"/>
        </w:tabs>
        <w:spacing w:line="360" w:lineRule="auto"/>
        <w:outlineLvl w:val="2"/>
        <w:rPr>
          <w:b/>
          <w:szCs w:val="21"/>
        </w:rPr>
      </w:pPr>
      <w:r>
        <w:rPr>
          <w:rFonts w:hint="eastAsia"/>
          <w:b/>
          <w:szCs w:val="21"/>
        </w:rPr>
        <w:t>详细评审</w:t>
      </w:r>
    </w:p>
    <w:p>
      <w:pPr>
        <w:numPr>
          <w:ilvl w:val="0"/>
          <w:numId w:val="45"/>
        </w:numPr>
        <w:spacing w:line="360" w:lineRule="auto"/>
      </w:pPr>
      <w:r>
        <w:rPr>
          <w:rFonts w:hint="eastAsia"/>
        </w:rPr>
        <w:t>详细评审是对通过</w:t>
      </w:r>
      <w:r>
        <w:rPr>
          <w:rFonts w:hint="eastAsia"/>
          <w:szCs w:val="21"/>
        </w:rPr>
        <w:t>符合性审查</w:t>
      </w:r>
      <w:r>
        <w:rPr>
          <w:rFonts w:hint="eastAsia"/>
        </w:rPr>
        <w:t>合格的投标文件进行商务、</w:t>
      </w:r>
      <w:r>
        <w:rPr>
          <w:rFonts w:hint="eastAsia"/>
          <w:szCs w:val="21"/>
          <w:lang w:val="en-US"/>
        </w:rPr>
        <w:t>技术和价格</w:t>
      </w:r>
      <w:r>
        <w:rPr>
          <w:rFonts w:hint="eastAsia"/>
          <w:szCs w:val="21"/>
        </w:rPr>
        <w:t>评估，综合评价</w:t>
      </w:r>
      <w:r>
        <w:rPr>
          <w:rFonts w:hint="eastAsia"/>
        </w:rPr>
        <w:t>。</w:t>
      </w:r>
    </w:p>
    <w:p>
      <w:pPr>
        <w:numPr>
          <w:ilvl w:val="0"/>
          <w:numId w:val="45"/>
        </w:numPr>
        <w:spacing w:line="360" w:lineRule="auto"/>
        <w:rPr>
          <w:szCs w:val="21"/>
        </w:rPr>
      </w:pPr>
      <w:r>
        <w:rPr>
          <w:rFonts w:hint="eastAsia"/>
          <w:szCs w:val="21"/>
        </w:rPr>
        <w:t>分值（权重）分配</w:t>
      </w:r>
    </w:p>
    <w:p>
      <w:pPr>
        <w:numPr>
          <w:ilvl w:val="0"/>
          <w:numId w:val="46"/>
        </w:numPr>
        <w:tabs>
          <w:tab w:val="left" w:pos="945"/>
        </w:tabs>
        <w:spacing w:line="360" w:lineRule="auto"/>
      </w:pPr>
      <w:r>
        <w:rPr>
          <w:rFonts w:hint="eastAsia"/>
        </w:rPr>
        <w:t>评分总值最高为100分，商务部分、技术部分得分分值（权重）分配、分值设置如下：</w:t>
      </w:r>
    </w:p>
    <w:p>
      <w:pPr>
        <w:pStyle w:val="2"/>
        <w:ind w:firstLine="400"/>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80"/>
        <w:gridCol w:w="2364"/>
        <w:gridCol w:w="2364"/>
        <w:gridCol w:w="23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280" w:type="dxa"/>
            <w:vAlign w:val="bottom"/>
          </w:tcPr>
          <w:p>
            <w:pPr>
              <w:snapToGrid w:val="0"/>
              <w:spacing w:line="360" w:lineRule="auto"/>
              <w:jc w:val="center"/>
              <w:rPr>
                <w:b/>
              </w:rPr>
            </w:pPr>
            <w:r>
              <w:rPr>
                <w:rFonts w:hint="eastAsia"/>
                <w:b/>
              </w:rPr>
              <w:t>分值比例（100%）</w:t>
            </w:r>
          </w:p>
        </w:tc>
        <w:tc>
          <w:tcPr>
            <w:tcW w:w="2364" w:type="dxa"/>
            <w:vAlign w:val="bottom"/>
          </w:tcPr>
          <w:p>
            <w:pPr>
              <w:snapToGrid w:val="0"/>
              <w:spacing w:line="360" w:lineRule="auto"/>
              <w:jc w:val="center"/>
              <w:rPr>
                <w:b/>
              </w:rPr>
            </w:pPr>
            <w:r>
              <w:rPr>
                <w:rFonts w:hint="eastAsia"/>
                <w:b/>
                <w:bCs/>
                <w:szCs w:val="21"/>
              </w:rPr>
              <w:t>商务</w:t>
            </w:r>
            <w:r>
              <w:rPr>
                <w:rFonts w:hint="eastAsia"/>
                <w:b/>
                <w:spacing w:val="-4"/>
              </w:rPr>
              <w:t>评分（</w:t>
            </w:r>
            <w:r>
              <w:rPr>
                <w:rFonts w:hint="eastAsia"/>
                <w:b/>
                <w:spacing w:val="-4"/>
                <w:lang w:val="en-US"/>
              </w:rPr>
              <w:t>30</w:t>
            </w:r>
            <w:r>
              <w:rPr>
                <w:rFonts w:hint="eastAsia"/>
                <w:b/>
                <w:spacing w:val="-4"/>
              </w:rPr>
              <w:t>%）</w:t>
            </w:r>
          </w:p>
        </w:tc>
        <w:tc>
          <w:tcPr>
            <w:tcW w:w="2364" w:type="dxa"/>
            <w:vAlign w:val="bottom"/>
          </w:tcPr>
          <w:p>
            <w:pPr>
              <w:snapToGrid w:val="0"/>
              <w:spacing w:line="360" w:lineRule="auto"/>
              <w:jc w:val="center"/>
            </w:pPr>
            <w:r>
              <w:rPr>
                <w:rFonts w:hint="eastAsia"/>
                <w:b/>
                <w:bCs/>
                <w:szCs w:val="21"/>
              </w:rPr>
              <w:t>技术</w:t>
            </w:r>
            <w:r>
              <w:rPr>
                <w:rFonts w:hint="eastAsia"/>
                <w:b/>
                <w:bCs/>
                <w:spacing w:val="-4"/>
              </w:rPr>
              <w:t>评</w:t>
            </w:r>
            <w:r>
              <w:rPr>
                <w:rFonts w:hint="eastAsia"/>
                <w:b/>
                <w:spacing w:val="-4"/>
              </w:rPr>
              <w:t>分（4</w:t>
            </w:r>
            <w:r>
              <w:rPr>
                <w:rFonts w:hint="eastAsia"/>
                <w:b/>
                <w:spacing w:val="-4"/>
                <w:lang w:val="en-US"/>
              </w:rPr>
              <w:t>0</w:t>
            </w:r>
            <w:r>
              <w:rPr>
                <w:rFonts w:hint="eastAsia"/>
                <w:b/>
              </w:rPr>
              <w:t>%</w:t>
            </w:r>
            <w:r>
              <w:rPr>
                <w:rFonts w:hint="eastAsia"/>
                <w:b/>
                <w:spacing w:val="-4"/>
              </w:rPr>
              <w:t>）</w:t>
            </w:r>
          </w:p>
        </w:tc>
        <w:tc>
          <w:tcPr>
            <w:tcW w:w="2364" w:type="dxa"/>
            <w:vAlign w:val="bottom"/>
          </w:tcPr>
          <w:p>
            <w:pPr>
              <w:snapToGrid w:val="0"/>
              <w:spacing w:line="360" w:lineRule="auto"/>
              <w:jc w:val="center"/>
              <w:rPr>
                <w:b/>
                <w:bCs/>
                <w:szCs w:val="21"/>
              </w:rPr>
            </w:pPr>
            <w:r>
              <w:rPr>
                <w:rFonts w:hint="eastAsia"/>
                <w:b/>
                <w:bCs/>
                <w:szCs w:val="21"/>
              </w:rPr>
              <w:t>价格部分（</w:t>
            </w:r>
            <w:r>
              <w:rPr>
                <w:rFonts w:hint="eastAsia"/>
                <w:b/>
                <w:bCs/>
                <w:szCs w:val="21"/>
                <w:lang w:val="en-US"/>
              </w:rPr>
              <w:t>30</w:t>
            </w:r>
            <w:r>
              <w:rPr>
                <w:rFonts w:hint="eastAsia"/>
                <w:b/>
                <w:bCs/>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280" w:type="dxa"/>
            <w:vAlign w:val="bottom"/>
          </w:tcPr>
          <w:p>
            <w:pPr>
              <w:snapToGrid w:val="0"/>
              <w:spacing w:line="360" w:lineRule="auto"/>
              <w:jc w:val="center"/>
            </w:pPr>
            <w:r>
              <w:rPr>
                <w:rFonts w:hint="eastAsia"/>
              </w:rPr>
              <w:t>得分100分</w:t>
            </w:r>
          </w:p>
        </w:tc>
        <w:tc>
          <w:tcPr>
            <w:tcW w:w="2364" w:type="dxa"/>
            <w:vAlign w:val="bottom"/>
          </w:tcPr>
          <w:p>
            <w:pPr>
              <w:snapToGrid w:val="0"/>
              <w:spacing w:line="360" w:lineRule="auto"/>
              <w:jc w:val="center"/>
            </w:pPr>
            <w:r>
              <w:rPr>
                <w:rFonts w:hint="eastAsia"/>
                <w:lang w:val="en-US"/>
              </w:rPr>
              <w:t>30</w:t>
            </w:r>
            <w:r>
              <w:rPr>
                <w:rFonts w:hint="eastAsia"/>
              </w:rPr>
              <w:t>分</w:t>
            </w:r>
          </w:p>
        </w:tc>
        <w:tc>
          <w:tcPr>
            <w:tcW w:w="2364" w:type="dxa"/>
            <w:vAlign w:val="bottom"/>
          </w:tcPr>
          <w:p>
            <w:pPr>
              <w:snapToGrid w:val="0"/>
              <w:spacing w:line="360" w:lineRule="auto"/>
              <w:jc w:val="center"/>
            </w:pPr>
            <w:r>
              <w:rPr>
                <w:rFonts w:hint="eastAsia"/>
                <w:lang w:val="en-US"/>
              </w:rPr>
              <w:t>40</w:t>
            </w:r>
            <w:r>
              <w:rPr>
                <w:rFonts w:hint="eastAsia"/>
              </w:rPr>
              <w:t>分</w:t>
            </w:r>
          </w:p>
        </w:tc>
        <w:tc>
          <w:tcPr>
            <w:tcW w:w="2364" w:type="dxa"/>
            <w:vAlign w:val="bottom"/>
          </w:tcPr>
          <w:p>
            <w:pPr>
              <w:snapToGrid w:val="0"/>
              <w:spacing w:line="360" w:lineRule="auto"/>
              <w:jc w:val="center"/>
            </w:pPr>
            <w:r>
              <w:rPr>
                <w:rFonts w:hint="eastAsia"/>
                <w:lang w:val="en-US"/>
              </w:rPr>
              <w:t>30</w:t>
            </w:r>
            <w:r>
              <w:rPr>
                <w:rFonts w:hint="eastAsia"/>
              </w:rPr>
              <w:t>分</w:t>
            </w:r>
          </w:p>
        </w:tc>
      </w:tr>
    </w:tbl>
    <w:p>
      <w:pPr>
        <w:tabs>
          <w:tab w:val="left" w:pos="0"/>
          <w:tab w:val="left" w:pos="945"/>
        </w:tabs>
        <w:spacing w:line="360" w:lineRule="auto"/>
        <w:ind w:left="964"/>
        <w:rPr>
          <w:b/>
          <w:bCs/>
          <w:szCs w:val="21"/>
        </w:rPr>
      </w:pPr>
    </w:p>
    <w:p>
      <w:pPr>
        <w:numPr>
          <w:ilvl w:val="0"/>
          <w:numId w:val="46"/>
        </w:numPr>
        <w:tabs>
          <w:tab w:val="left" w:pos="945"/>
        </w:tabs>
        <w:spacing w:line="360" w:lineRule="auto"/>
        <w:rPr>
          <w:b/>
          <w:bCs/>
          <w:szCs w:val="21"/>
        </w:rPr>
      </w:pPr>
      <w:r>
        <w:rPr>
          <w:rFonts w:hint="eastAsia"/>
          <w:b/>
          <w:bCs/>
          <w:szCs w:val="21"/>
        </w:rPr>
        <w:t>商务部分评分标准（总分30分）</w:t>
      </w:r>
    </w:p>
    <w:tbl>
      <w:tblPr>
        <w:tblStyle w:val="19"/>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59"/>
        <w:gridCol w:w="850"/>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序号</w:t>
            </w:r>
          </w:p>
        </w:tc>
        <w:tc>
          <w:tcPr>
            <w:tcW w:w="1459"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分值</w:t>
            </w:r>
          </w:p>
        </w:tc>
        <w:tc>
          <w:tcPr>
            <w:tcW w:w="7167"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2"/>
                <w:szCs w:val="22"/>
              </w:rPr>
            </w:pPr>
            <w:r>
              <w:rPr>
                <w:rFonts w:hint="eastAsia" w:ascii="宋体" w:hAnsi="宋体"/>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rPr>
                <w:lang w:val="en-US"/>
              </w:rPr>
            </w:pPr>
            <w:r>
              <w:rPr>
                <w:rFonts w:hint="eastAsia"/>
                <w:lang w:val="en-US"/>
              </w:rPr>
              <w:t>企业资质</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lang w:bidi="ar"/>
              </w:rPr>
            </w:pPr>
            <w:r>
              <w:rPr>
                <w:rFonts w:hint="eastAsia"/>
                <w:color w:val="000000"/>
                <w:lang w:val="en-US" w:bidi="ar"/>
              </w:rPr>
              <w:t>9</w:t>
            </w:r>
            <w:r>
              <w:rPr>
                <w:rFonts w:hint="eastAsia"/>
                <w:color w:val="000000"/>
                <w:lang w:bidi="ar"/>
              </w:rPr>
              <w:t>分</w:t>
            </w:r>
          </w:p>
        </w:tc>
        <w:tc>
          <w:tcPr>
            <w:tcW w:w="7167" w:type="dxa"/>
            <w:tcBorders>
              <w:top w:val="single" w:color="auto" w:sz="4" w:space="0"/>
              <w:left w:val="single" w:color="auto" w:sz="4" w:space="0"/>
              <w:bottom w:val="single" w:color="auto" w:sz="4" w:space="0"/>
              <w:right w:val="single" w:color="auto" w:sz="4" w:space="0"/>
            </w:tcBorders>
            <w:vAlign w:val="center"/>
          </w:tcPr>
          <w:p>
            <w:pPr>
              <w:tabs>
                <w:tab w:val="left" w:pos="945"/>
              </w:tabs>
              <w:spacing w:line="360" w:lineRule="auto"/>
              <w:jc w:val="both"/>
            </w:pPr>
            <w:r>
              <w:rPr>
                <w:rFonts w:hint="eastAsia"/>
              </w:rPr>
              <w:t>1、</w:t>
            </w:r>
            <w:r>
              <w:rPr>
                <w:rFonts w:hint="eastAsia"/>
                <w:lang w:val="en-US"/>
              </w:rPr>
              <w:t>投标人获得“专业舞台灯光设计、安装及调试”甲级资质证书的。得 3 分；</w:t>
            </w:r>
          </w:p>
          <w:p>
            <w:pPr>
              <w:tabs>
                <w:tab w:val="left" w:pos="945"/>
              </w:tabs>
              <w:spacing w:line="360" w:lineRule="auto"/>
              <w:jc w:val="both"/>
            </w:pPr>
            <w:r>
              <w:rPr>
                <w:rFonts w:hint="eastAsia"/>
              </w:rPr>
              <w:t>2、投标人获得“专业舞台机械设计、安装及调试”甲级资质证书的。得 3 分；</w:t>
            </w:r>
          </w:p>
          <w:p>
            <w:pPr>
              <w:pStyle w:val="2"/>
              <w:spacing w:line="360" w:lineRule="auto"/>
              <w:ind w:firstLine="0" w:firstLineChars="0"/>
              <w:jc w:val="both"/>
              <w:rPr>
                <w:sz w:val="22"/>
                <w:lang w:val="en-US"/>
              </w:rPr>
            </w:pPr>
            <w:r>
              <w:rPr>
                <w:rFonts w:hint="eastAsia"/>
                <w:sz w:val="22"/>
              </w:rPr>
              <w:t>3、</w:t>
            </w:r>
            <w:r>
              <w:rPr>
                <w:rFonts w:hint="eastAsia"/>
                <w:sz w:val="22"/>
                <w:lang w:val="en-US"/>
              </w:rPr>
              <w:t>投标人具有行业协会授予的舞台机械工程综合技术能力等级一级证书或专业舞台机械设计安装及调试资质等级甲级证书的，得3分。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25" w:type="dxa"/>
            <w:tcBorders>
              <w:left w:val="single" w:color="auto" w:sz="4" w:space="0"/>
              <w:bottom w:val="single" w:color="auto" w:sz="4" w:space="0"/>
              <w:right w:val="single" w:color="auto" w:sz="4" w:space="0"/>
            </w:tcBorders>
            <w:vAlign w:val="center"/>
          </w:tcPr>
          <w:p>
            <w:pPr>
              <w:pStyle w:val="27"/>
              <w:rPr>
                <w:rFonts w:ascii="宋体" w:hAnsi="宋体"/>
                <w:sz w:val="22"/>
                <w:szCs w:val="22"/>
              </w:rPr>
            </w:pPr>
            <w:r>
              <w:rPr>
                <w:rFonts w:hint="eastAsia" w:ascii="宋体" w:hAnsi="宋体"/>
                <w:sz w:val="22"/>
                <w:szCs w:val="22"/>
              </w:rPr>
              <w:t>2</w:t>
            </w:r>
          </w:p>
        </w:tc>
        <w:tc>
          <w:tcPr>
            <w:tcW w:w="1459"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sz w:val="22"/>
                <w:szCs w:val="22"/>
              </w:rPr>
            </w:pPr>
            <w:r>
              <w:rPr>
                <w:rFonts w:hint="eastAsia" w:ascii="宋体" w:hAnsi="宋体"/>
                <w:sz w:val="22"/>
                <w:szCs w:val="22"/>
              </w:rPr>
              <w:t>企业认证情况</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rPr>
              <w:t>6</w:t>
            </w:r>
            <w:r>
              <w:rPr>
                <w:rFonts w:hint="eastAsia"/>
              </w:rPr>
              <w:t>分</w:t>
            </w:r>
          </w:p>
        </w:tc>
        <w:tc>
          <w:tcPr>
            <w:tcW w:w="71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lang w:val="en-US"/>
              </w:rPr>
              <w:t>投标人具有由国家认证认可监督管理部门批准设立的认证机构颁发的：质量管理体系认证证书、职业健康安全管理体系认证证书、环境管理体系认证证书，证书需在有效期内，且体系覆盖范围包含舞台专业设备安装，满足以上要求的每项得2分，满分得6分。</w:t>
            </w:r>
          </w:p>
          <w:p>
            <w:pPr>
              <w:widowControl/>
              <w:spacing w:line="360" w:lineRule="auto"/>
            </w:pPr>
            <w:r>
              <w:rPr>
                <w:rFonts w:hint="eastAsia"/>
                <w:lang w:val="en-US"/>
              </w:rPr>
              <w:t>注：提供有效证书复印件及全国认证认可信息公共服务平台网上查询截图。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2"/>
                <w:szCs w:val="22"/>
              </w:rPr>
            </w:pPr>
            <w:r>
              <w:rPr>
                <w:rFonts w:hint="eastAsia" w:ascii="宋体" w:hAnsi="宋体"/>
                <w:sz w:val="22"/>
                <w:szCs w:val="22"/>
              </w:rPr>
              <w:t>3</w:t>
            </w:r>
          </w:p>
        </w:tc>
        <w:tc>
          <w:tcPr>
            <w:tcW w:w="1459"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2"/>
                <w:szCs w:val="22"/>
              </w:rPr>
            </w:pPr>
            <w:r>
              <w:rPr>
                <w:rFonts w:hint="eastAsia"/>
                <w:bCs w:val="0"/>
                <w:kern w:val="2"/>
                <w:sz w:val="22"/>
                <w:szCs w:val="22"/>
              </w:rPr>
              <w:t>企业业绩</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rPr>
              <w:t>7</w:t>
            </w:r>
            <w:r>
              <w:rPr>
                <w:rFonts w:hint="eastAsia"/>
              </w:rPr>
              <w:t>分</w:t>
            </w:r>
          </w:p>
        </w:tc>
        <w:tc>
          <w:tcPr>
            <w:tcW w:w="71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lang w:val="en-US"/>
              </w:rPr>
              <w:t>投标人2017年以来（以竣工验收时间为准）承担过单项合同范围包含舞台机械、灯光、音响采购安装内容，每项得1分，满分得7分。</w:t>
            </w:r>
          </w:p>
          <w:p>
            <w:pPr>
              <w:widowControl/>
              <w:spacing w:line="360" w:lineRule="auto"/>
            </w:pPr>
            <w:r>
              <w:rPr>
                <w:rFonts w:hint="eastAsia"/>
                <w:lang w:val="en-US"/>
              </w:rPr>
              <w:t>注：需提供中标通知书、合同（关键页）、验收报告。合同或验收报告需体现采购范围，否则不得分。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2"/>
                <w:szCs w:val="22"/>
              </w:rPr>
            </w:pPr>
            <w:r>
              <w:rPr>
                <w:rFonts w:hint="eastAsia" w:ascii="宋体" w:hAnsi="宋体"/>
                <w:kern w:val="2"/>
                <w:sz w:val="22"/>
                <w:szCs w:val="22"/>
              </w:rPr>
              <w:t>4</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pPr>
            <w:r>
              <w:t>拟投入的服务团队情况</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snapToGrid w:val="0"/>
              </w:rPr>
            </w:pPr>
            <w:r>
              <w:rPr>
                <w:rFonts w:hint="eastAsia"/>
                <w:snapToGrid w:val="0"/>
                <w:lang w:val="en-US"/>
              </w:rPr>
              <w:t>8</w:t>
            </w:r>
            <w:r>
              <w:rPr>
                <w:rFonts w:hint="eastAsia"/>
                <w:snapToGrid w:val="0"/>
              </w:rPr>
              <w:t>分</w:t>
            </w:r>
          </w:p>
        </w:tc>
        <w:tc>
          <w:tcPr>
            <w:tcW w:w="71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lang w:val="en-US"/>
              </w:rPr>
            </w:pPr>
            <w:r>
              <w:rPr>
                <w:lang w:val="en-US"/>
              </w:rPr>
              <w:t>项目管理团队中配备：</w:t>
            </w:r>
          </w:p>
          <w:p>
            <w:pPr>
              <w:widowControl/>
              <w:spacing w:line="360" w:lineRule="auto"/>
              <w:rPr>
                <w:lang w:val="en-US"/>
              </w:rPr>
            </w:pPr>
            <w:r>
              <w:rPr>
                <w:rFonts w:hint="eastAsia"/>
                <w:lang w:val="en-US"/>
              </w:rPr>
              <w:t>1、</w:t>
            </w:r>
            <w:r>
              <w:rPr>
                <w:lang w:val="en-US"/>
              </w:rPr>
              <w:t>机械专业工程师或以上职称1人得2分，最高得</w:t>
            </w:r>
            <w:r>
              <w:rPr>
                <w:rFonts w:hint="eastAsia"/>
                <w:lang w:val="en-US"/>
              </w:rPr>
              <w:t>4</w:t>
            </w:r>
            <w:r>
              <w:rPr>
                <w:lang w:val="en-US"/>
              </w:rPr>
              <w:t>分；</w:t>
            </w:r>
          </w:p>
          <w:p>
            <w:pPr>
              <w:widowControl/>
              <w:spacing w:line="360" w:lineRule="auto"/>
              <w:rPr>
                <w:lang w:val="en-US"/>
              </w:rPr>
            </w:pPr>
            <w:r>
              <w:rPr>
                <w:rFonts w:hint="eastAsia"/>
                <w:lang w:val="en-US"/>
              </w:rPr>
              <w:t>2、</w:t>
            </w:r>
            <w:r>
              <w:rPr>
                <w:lang w:val="en-US"/>
              </w:rPr>
              <w:t>机电工程专业工程师或以上职称1人得</w:t>
            </w:r>
            <w:r>
              <w:rPr>
                <w:rFonts w:hint="eastAsia"/>
                <w:lang w:val="en-US"/>
              </w:rPr>
              <w:t>2</w:t>
            </w:r>
            <w:r>
              <w:rPr>
                <w:lang w:val="en-US"/>
              </w:rPr>
              <w:t>分，最高得</w:t>
            </w:r>
            <w:r>
              <w:rPr>
                <w:rFonts w:hint="eastAsia"/>
                <w:lang w:val="en-US"/>
              </w:rPr>
              <w:t>2</w:t>
            </w:r>
            <w:r>
              <w:rPr>
                <w:lang w:val="en-US"/>
              </w:rPr>
              <w:t>分；</w:t>
            </w:r>
          </w:p>
          <w:p>
            <w:pPr>
              <w:widowControl/>
              <w:spacing w:line="360" w:lineRule="auto"/>
              <w:rPr>
                <w:lang w:val="en-US"/>
              </w:rPr>
            </w:pPr>
            <w:r>
              <w:rPr>
                <w:rFonts w:hint="eastAsia"/>
                <w:lang w:val="en-US"/>
              </w:rPr>
              <w:t>3、</w:t>
            </w:r>
            <w:r>
              <w:rPr>
                <w:lang w:val="en-US"/>
              </w:rPr>
              <w:t>投标人拟投入本项目的技术人员中具有演艺设备系统工程舞台机械项目经理岗位证书的，得2分；</w:t>
            </w:r>
          </w:p>
          <w:p>
            <w:pPr>
              <w:widowControl/>
              <w:spacing w:line="360" w:lineRule="auto"/>
              <w:rPr>
                <w:lang w:val="en-US"/>
              </w:rPr>
            </w:pPr>
            <w:r>
              <w:rPr>
                <w:lang w:val="en-US"/>
              </w:rPr>
              <w:t>本项最高得</w:t>
            </w:r>
            <w:r>
              <w:rPr>
                <w:rFonts w:hint="eastAsia"/>
                <w:lang w:val="en-US"/>
              </w:rPr>
              <w:t>8</w:t>
            </w:r>
            <w:r>
              <w:rPr>
                <w:lang w:val="en-US"/>
              </w:rPr>
              <w:t>分。</w:t>
            </w:r>
          </w:p>
          <w:p>
            <w:pPr>
              <w:widowControl/>
              <w:spacing w:line="360" w:lineRule="auto"/>
              <w:rPr>
                <w:lang w:val="en-US"/>
              </w:rPr>
            </w:pPr>
            <w:r>
              <w:rPr>
                <w:lang w:val="en-US"/>
              </w:rPr>
              <w:t>注：以上人员不重复计分，以上人员需提供</w:t>
            </w:r>
            <w:r>
              <w:rPr>
                <w:rFonts w:hint="eastAsia"/>
                <w:lang w:val="en-US"/>
              </w:rPr>
              <w:t>近三个月连续</w:t>
            </w:r>
            <w:r>
              <w:rPr>
                <w:lang w:val="en-US"/>
              </w:rPr>
              <w:t>在本单位缴纳社会保险证明文件。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1"/>
                <w:szCs w:val="21"/>
              </w:rPr>
            </w:pPr>
            <w:r>
              <w:rPr>
                <w:rFonts w:hint="eastAsia" w:ascii="宋体" w:hAnsi="宋体"/>
                <w:sz w:val="21"/>
                <w:szCs w:val="21"/>
              </w:rPr>
              <w:t>合    计</w:t>
            </w:r>
          </w:p>
        </w:tc>
        <w:tc>
          <w:tcPr>
            <w:tcW w:w="8017" w:type="dxa"/>
            <w:gridSpan w:val="2"/>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1"/>
                <w:szCs w:val="21"/>
              </w:rPr>
            </w:pPr>
            <w:r>
              <w:rPr>
                <w:rFonts w:hint="eastAsia" w:ascii="宋体" w:hAnsi="宋体"/>
                <w:sz w:val="21"/>
                <w:szCs w:val="21"/>
              </w:rPr>
              <w:t>3</w:t>
            </w:r>
            <w:r>
              <w:rPr>
                <w:rFonts w:ascii="宋体" w:hAnsi="宋体"/>
                <w:sz w:val="21"/>
                <w:szCs w:val="21"/>
              </w:rPr>
              <w:t>0</w:t>
            </w:r>
            <w:r>
              <w:rPr>
                <w:rFonts w:hint="eastAsia" w:ascii="宋体" w:hAnsi="宋体"/>
                <w:sz w:val="21"/>
                <w:szCs w:val="21"/>
              </w:rPr>
              <w:t>分</w:t>
            </w:r>
          </w:p>
        </w:tc>
      </w:tr>
    </w:tbl>
    <w:p>
      <w:pPr>
        <w:pStyle w:val="2"/>
        <w:ind w:firstLine="400"/>
      </w:pPr>
    </w:p>
    <w:p>
      <w:pPr>
        <w:spacing w:line="360" w:lineRule="auto"/>
        <w:rPr>
          <w:b/>
          <w:szCs w:val="20"/>
        </w:rPr>
      </w:pPr>
      <w:r>
        <w:rPr>
          <w:rFonts w:hint="eastAsia"/>
          <w:b/>
          <w:szCs w:val="20"/>
        </w:rPr>
        <w:t>注：未提供证明文件的，相应得分为0分。</w:t>
      </w:r>
    </w:p>
    <w:p>
      <w:pPr>
        <w:widowControl/>
        <w:autoSpaceDE/>
        <w:autoSpaceDN/>
        <w:rPr>
          <w:sz w:val="20"/>
        </w:rPr>
      </w:pPr>
      <w:r>
        <w:br w:type="page"/>
      </w:r>
    </w:p>
    <w:p>
      <w:pPr>
        <w:numPr>
          <w:ilvl w:val="0"/>
          <w:numId w:val="46"/>
        </w:numPr>
        <w:tabs>
          <w:tab w:val="left" w:pos="945"/>
        </w:tabs>
        <w:spacing w:line="360" w:lineRule="auto"/>
        <w:rPr>
          <w:b/>
          <w:bCs/>
          <w:szCs w:val="21"/>
        </w:rPr>
      </w:pPr>
      <w:r>
        <w:rPr>
          <w:rFonts w:hint="eastAsia"/>
          <w:b/>
          <w:bCs/>
          <w:szCs w:val="21"/>
        </w:rPr>
        <w:t>技术部分评分标准（总分40分）</w:t>
      </w:r>
    </w:p>
    <w:tbl>
      <w:tblPr>
        <w:tblStyle w:val="1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58"/>
        <w:gridCol w:w="1356"/>
        <w:gridCol w:w="851"/>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29" w:hRule="atLeast"/>
          <w:tblHeader/>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序号</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评审分项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分值</w:t>
            </w:r>
          </w:p>
        </w:tc>
        <w:tc>
          <w:tcPr>
            <w:tcW w:w="6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lang w:val="en-US"/>
              </w:rPr>
            </w:pPr>
            <w:r>
              <w:rPr>
                <w:rFonts w:hint="eastAsia"/>
                <w:lang w:val="en-US"/>
              </w:rPr>
              <w:t>1</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技术方案</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lang w:val="en-US"/>
              </w:rPr>
            </w:pPr>
            <w:r>
              <w:rPr>
                <w:rFonts w:hint="eastAsia"/>
                <w:bCs/>
                <w:lang w:val="en-US"/>
              </w:rPr>
              <w:t>10分</w:t>
            </w:r>
          </w:p>
        </w:tc>
        <w:tc>
          <w:tcPr>
            <w:tcW w:w="66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color w:val="000000"/>
                <w:lang w:bidi="ar"/>
              </w:rPr>
            </w:pPr>
            <w:r>
              <w:rPr>
                <w:rFonts w:hint="eastAsia"/>
                <w:color w:val="000000"/>
                <w:lang w:bidi="ar"/>
              </w:rPr>
              <w:t>根据投标人技术方案（包括舞台机械系统安装、调试及验收方案等）进行评审：</w:t>
            </w:r>
          </w:p>
          <w:p>
            <w:pPr>
              <w:widowControl/>
              <w:spacing w:line="360" w:lineRule="auto"/>
              <w:rPr>
                <w:color w:val="000000"/>
                <w:lang w:bidi="ar"/>
              </w:rPr>
            </w:pPr>
            <w:r>
              <w:rPr>
                <w:rFonts w:hint="eastAsia"/>
                <w:color w:val="000000"/>
                <w:lang w:bidi="ar"/>
              </w:rPr>
              <w:t>①技术方案科学合理，安装、调试及验收方案具体、针对性强，优于招标文件要求得 10 分；</w:t>
            </w:r>
          </w:p>
          <w:p>
            <w:pPr>
              <w:widowControl/>
              <w:spacing w:line="360" w:lineRule="auto"/>
              <w:rPr>
                <w:color w:val="000000"/>
                <w:lang w:bidi="ar"/>
              </w:rPr>
            </w:pPr>
            <w:r>
              <w:rPr>
                <w:rFonts w:hint="eastAsia"/>
                <w:color w:val="000000"/>
                <w:lang w:bidi="ar"/>
              </w:rPr>
              <w:t>②技术方案基本合理，安装、调试及验收方案基本完整、具有针对性，基本满足招标文件要求得 6 分；</w:t>
            </w:r>
          </w:p>
          <w:p>
            <w:pPr>
              <w:widowControl/>
              <w:spacing w:line="360" w:lineRule="auto"/>
              <w:rPr>
                <w:color w:val="000000"/>
                <w:lang w:bidi="ar"/>
              </w:rPr>
            </w:pPr>
            <w:r>
              <w:rPr>
                <w:rFonts w:hint="eastAsia"/>
                <w:color w:val="000000"/>
                <w:lang w:bidi="ar"/>
              </w:rPr>
              <w:t>③技术方案一般，安装、调试及验收方案一般、不具备针对性或针对性较差强，不太符合招标文件要求得 3 分；</w:t>
            </w:r>
          </w:p>
          <w:p>
            <w:pPr>
              <w:widowControl/>
              <w:spacing w:line="360" w:lineRule="auto"/>
              <w:rPr>
                <w:color w:val="000000"/>
                <w:lang w:bidi="ar"/>
              </w:rPr>
            </w:pPr>
            <w:r>
              <w:rPr>
                <w:rFonts w:hint="eastAsia"/>
                <w:color w:val="000000"/>
                <w:lang w:bidi="ar"/>
              </w:rPr>
              <w:t>④无提供相应内容不得分。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lang w:val="en-US"/>
              </w:rPr>
            </w:pPr>
            <w:r>
              <w:rPr>
                <w:rFonts w:hint="eastAsia"/>
                <w:lang w:val="en-US"/>
              </w:rPr>
              <w:t>2</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项目实施方案</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lang w:val="en-US"/>
              </w:rPr>
              <w:t>5</w:t>
            </w:r>
            <w:r>
              <w:rPr>
                <w:rFonts w:hint="eastAsia"/>
                <w:bCs/>
              </w:rPr>
              <w:t>分</w:t>
            </w:r>
          </w:p>
        </w:tc>
        <w:tc>
          <w:tcPr>
            <w:tcW w:w="66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color w:val="000000"/>
                <w:lang w:bidi="ar"/>
              </w:rPr>
            </w:pPr>
            <w:r>
              <w:rPr>
                <w:rFonts w:hint="eastAsia"/>
                <w:color w:val="000000"/>
                <w:lang w:bidi="ar"/>
              </w:rPr>
              <w:t>根据投标人制定的项目实施方案（包括但不限于供货方案、安装方案、安全文明实施方案、验收方案等）进行评审：</w:t>
            </w:r>
          </w:p>
          <w:p>
            <w:pPr>
              <w:widowControl/>
              <w:spacing w:line="360" w:lineRule="auto"/>
              <w:rPr>
                <w:color w:val="000000"/>
                <w:lang w:bidi="ar"/>
              </w:rPr>
            </w:pPr>
            <w:r>
              <w:rPr>
                <w:rFonts w:hint="eastAsia"/>
                <w:color w:val="000000"/>
                <w:lang w:bidi="ar"/>
              </w:rPr>
              <w:t>①项目实施方案非常明确、详尽、合理、规范，非常有利于项目实施的，得5分；</w:t>
            </w:r>
          </w:p>
          <w:p>
            <w:pPr>
              <w:widowControl/>
              <w:spacing w:line="360" w:lineRule="auto"/>
              <w:rPr>
                <w:color w:val="000000"/>
                <w:lang w:bidi="ar"/>
              </w:rPr>
            </w:pPr>
            <w:r>
              <w:rPr>
                <w:rFonts w:hint="eastAsia"/>
                <w:color w:val="000000"/>
                <w:lang w:bidi="ar"/>
              </w:rPr>
              <w:t>②项目实施方案比较明确、详尽、合理、规范，有利于项目实施的，得3分；</w:t>
            </w:r>
          </w:p>
          <w:p>
            <w:pPr>
              <w:widowControl/>
              <w:spacing w:line="360" w:lineRule="auto"/>
              <w:rPr>
                <w:color w:val="000000"/>
                <w:lang w:bidi="ar"/>
              </w:rPr>
            </w:pPr>
            <w:r>
              <w:rPr>
                <w:rFonts w:hint="eastAsia"/>
                <w:color w:val="000000"/>
                <w:lang w:bidi="ar"/>
              </w:rPr>
              <w:t>③项目实施方案基本明确、详尽、合理、规范，比较有利于项目实施的，得2分；</w:t>
            </w:r>
          </w:p>
          <w:p>
            <w:pPr>
              <w:widowControl/>
              <w:spacing w:line="360" w:lineRule="auto"/>
              <w:rPr>
                <w:color w:val="000000"/>
                <w:lang w:bidi="ar"/>
              </w:rPr>
            </w:pPr>
            <w:r>
              <w:rPr>
                <w:rFonts w:hint="eastAsia"/>
                <w:color w:val="000000"/>
                <w:lang w:bidi="ar"/>
              </w:rPr>
              <w:t>④项目实施方案简单、不够全面的得1分；</w:t>
            </w:r>
          </w:p>
          <w:p>
            <w:pPr>
              <w:widowControl/>
              <w:spacing w:line="360" w:lineRule="auto"/>
              <w:rPr>
                <w:color w:val="000000"/>
                <w:lang w:bidi="ar"/>
              </w:rPr>
            </w:pPr>
            <w:r>
              <w:rPr>
                <w:rFonts w:hint="eastAsia"/>
                <w:color w:val="000000"/>
                <w:lang w:bidi="ar"/>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8"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3</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售后服务方案及技术培训方案</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lang w:val="en-US"/>
              </w:rPr>
              <w:t>5</w:t>
            </w:r>
            <w:r>
              <w:rPr>
                <w:rFonts w:hint="eastAsia"/>
                <w:bCs/>
              </w:rPr>
              <w:t>分</w:t>
            </w:r>
          </w:p>
        </w:tc>
        <w:tc>
          <w:tcPr>
            <w:tcW w:w="66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color w:val="000000"/>
                <w:lang w:bidi="ar"/>
              </w:rPr>
            </w:pPr>
            <w:r>
              <w:rPr>
                <w:rFonts w:hint="eastAsia"/>
                <w:color w:val="000000"/>
                <w:lang w:bidi="ar"/>
              </w:rPr>
              <w:t>对投标人售后服务方案及技术培训方案</w:t>
            </w:r>
            <w:r>
              <w:rPr>
                <w:rFonts w:hint="eastAsia"/>
                <w:color w:val="000000"/>
                <w:lang w:val="en-US" w:bidi="ar"/>
              </w:rPr>
              <w:t>进行评审</w:t>
            </w:r>
            <w:r>
              <w:rPr>
                <w:rFonts w:hint="eastAsia"/>
                <w:color w:val="000000"/>
                <w:lang w:bidi="ar"/>
              </w:rPr>
              <w:t xml:space="preserve">： </w:t>
            </w:r>
          </w:p>
          <w:p>
            <w:pPr>
              <w:widowControl/>
              <w:spacing w:line="360" w:lineRule="auto"/>
              <w:rPr>
                <w:color w:val="000000"/>
                <w:lang w:bidi="ar"/>
              </w:rPr>
            </w:pPr>
            <w:r>
              <w:rPr>
                <w:rFonts w:hint="eastAsia"/>
                <w:color w:val="000000"/>
                <w:lang w:bidi="ar"/>
              </w:rPr>
              <w:t>根据投标人提供售后服务及技术培训方案（包括但不限于售后服务体系情况、响应情况、服务人员配备情况和技术培训方案）进行评审：</w:t>
            </w:r>
          </w:p>
          <w:p>
            <w:pPr>
              <w:widowControl/>
              <w:spacing w:line="360" w:lineRule="auto"/>
              <w:rPr>
                <w:color w:val="000000"/>
                <w:lang w:bidi="ar"/>
              </w:rPr>
            </w:pPr>
            <w:r>
              <w:rPr>
                <w:rFonts w:hint="eastAsia"/>
                <w:color w:val="000000"/>
                <w:lang w:bidi="ar"/>
              </w:rPr>
              <w:t>①售后服务承诺详细完整，人员配置完善，完全能保障提供优质的售后服务工作。应急响应方案且方案合理，有详细技术培训方案，安排非常合理、周全，得5分；</w:t>
            </w:r>
          </w:p>
          <w:p>
            <w:pPr>
              <w:widowControl/>
              <w:spacing w:line="360" w:lineRule="auto"/>
              <w:rPr>
                <w:color w:val="000000"/>
                <w:lang w:bidi="ar"/>
              </w:rPr>
            </w:pPr>
            <w:r>
              <w:rPr>
                <w:rFonts w:hint="eastAsia"/>
                <w:color w:val="000000"/>
                <w:lang w:bidi="ar"/>
              </w:rPr>
              <w:t>②售后服务承诺较完整，人员配置较合理，较能保障售后服务工作。应急响应方案且方案较合理，有较详细技术培训方案，安排较合理、较周全，得3分；</w:t>
            </w:r>
          </w:p>
          <w:p>
            <w:pPr>
              <w:widowControl/>
              <w:spacing w:line="360" w:lineRule="auto"/>
              <w:rPr>
                <w:color w:val="000000"/>
                <w:lang w:bidi="ar"/>
              </w:rPr>
            </w:pPr>
            <w:r>
              <w:rPr>
                <w:rFonts w:hint="eastAsia"/>
                <w:color w:val="000000"/>
                <w:lang w:bidi="ar"/>
              </w:rPr>
              <w:t>③售后服务承诺基本完整，人员配置基本合理，基本保障售后服务工作，应急响应方案基本合理，技术培训安排一般，得2分；</w:t>
            </w:r>
          </w:p>
          <w:p>
            <w:pPr>
              <w:widowControl/>
              <w:spacing w:line="360" w:lineRule="auto"/>
              <w:rPr>
                <w:color w:val="000000"/>
                <w:lang w:bidi="ar"/>
              </w:rPr>
            </w:pPr>
            <w:r>
              <w:rPr>
                <w:rFonts w:hint="eastAsia"/>
                <w:color w:val="000000"/>
                <w:lang w:bidi="ar"/>
              </w:rPr>
              <w:t>④售后服务承诺不完整、人员配置不合理，不能保障售后服务工作，有应急响应方案但不合理，有技术培训安排但培训安排不详细，得1分；</w:t>
            </w:r>
          </w:p>
          <w:p>
            <w:pPr>
              <w:widowControl/>
              <w:spacing w:line="360" w:lineRule="auto"/>
              <w:rPr>
                <w:color w:val="000000"/>
                <w:lang w:bidi="ar"/>
              </w:rPr>
            </w:pPr>
            <w:r>
              <w:rPr>
                <w:rFonts w:hint="eastAsia"/>
                <w:color w:val="000000"/>
                <w:lang w:val="en-US" w:bidi="ar"/>
              </w:rPr>
              <w:t>注：</w:t>
            </w:r>
            <w:r>
              <w:rPr>
                <w:rFonts w:hint="eastAsia"/>
                <w:color w:val="000000"/>
                <w:lang w:bidi="ar"/>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8"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lang w:val="en-US"/>
              </w:rPr>
            </w:pPr>
            <w:r>
              <w:rPr>
                <w:rFonts w:hint="eastAsia"/>
                <w:lang w:val="en-US"/>
              </w:rPr>
              <w:t>对项目的理解及熟悉程度</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snapToGrid w:val="0"/>
              </w:rPr>
              <w:t>1</w:t>
            </w:r>
            <w:r>
              <w:rPr>
                <w:rFonts w:hint="eastAsia"/>
                <w:snapToGrid w:val="0"/>
                <w:lang w:val="en-US"/>
              </w:rPr>
              <w:t>0</w:t>
            </w:r>
            <w:r>
              <w:rPr>
                <w:rFonts w:hint="eastAsia"/>
                <w:snapToGrid w:val="0"/>
              </w:rPr>
              <w:t>分</w:t>
            </w:r>
          </w:p>
        </w:tc>
        <w:tc>
          <w:tcPr>
            <w:tcW w:w="6631" w:type="dxa"/>
            <w:tcBorders>
              <w:top w:val="single" w:color="auto" w:sz="4" w:space="0"/>
              <w:left w:val="single" w:color="auto" w:sz="4" w:space="0"/>
              <w:bottom w:val="single" w:color="auto" w:sz="4" w:space="0"/>
              <w:right w:val="single" w:color="auto" w:sz="4" w:space="0"/>
            </w:tcBorders>
            <w:vAlign w:val="center"/>
          </w:tcPr>
          <w:p>
            <w:pPr>
              <w:pStyle w:val="23"/>
              <w:spacing w:before="111" w:line="360" w:lineRule="auto"/>
              <w:ind w:left="108" w:right="-29"/>
              <w:rPr>
                <w:color w:val="000000"/>
                <w:lang w:bidi="ar"/>
              </w:rPr>
            </w:pPr>
            <w:r>
              <w:rPr>
                <w:rFonts w:hint="eastAsia"/>
                <w:color w:val="000000"/>
                <w:lang w:bidi="ar"/>
              </w:rPr>
              <w:t>根据投标人对本项目用户需求的理解程度和控制 要求、性能要求、安装维护便利性，及其使用便利、易于维护等情况进行评审：</w:t>
            </w:r>
          </w:p>
          <w:p>
            <w:pPr>
              <w:pStyle w:val="23"/>
              <w:spacing w:before="1" w:line="360" w:lineRule="auto"/>
              <w:ind w:left="108"/>
              <w:rPr>
                <w:color w:val="000000"/>
                <w:lang w:bidi="ar"/>
              </w:rPr>
            </w:pPr>
            <w:r>
              <w:rPr>
                <w:rFonts w:hint="eastAsia"/>
                <w:color w:val="000000"/>
                <w:lang w:bidi="ar"/>
              </w:rPr>
              <w:t>①对本项目的理解明确、清晰，工作重点、难点分</w:t>
            </w:r>
          </w:p>
          <w:p>
            <w:pPr>
              <w:pStyle w:val="23"/>
              <w:spacing w:before="101" w:line="360" w:lineRule="auto"/>
              <w:ind w:left="108"/>
              <w:rPr>
                <w:color w:val="000000"/>
                <w:lang w:bidi="ar"/>
              </w:rPr>
            </w:pPr>
            <w:r>
              <w:rPr>
                <w:rFonts w:hint="eastAsia"/>
                <w:color w:val="000000"/>
                <w:lang w:bidi="ar"/>
              </w:rPr>
              <w:t xml:space="preserve">析准确、到位，解决措施合理可行，得 </w:t>
            </w:r>
            <w:r>
              <w:rPr>
                <w:rFonts w:hint="eastAsia"/>
                <w:color w:val="000000"/>
                <w:lang w:val="en-US" w:bidi="ar"/>
              </w:rPr>
              <w:t>10</w:t>
            </w:r>
            <w:r>
              <w:rPr>
                <w:rFonts w:hint="eastAsia"/>
                <w:color w:val="000000"/>
                <w:lang w:bidi="ar"/>
              </w:rPr>
              <w:t xml:space="preserve"> 分；</w:t>
            </w:r>
          </w:p>
          <w:p>
            <w:pPr>
              <w:pStyle w:val="23"/>
              <w:spacing w:before="101" w:line="360" w:lineRule="auto"/>
              <w:ind w:left="108"/>
              <w:rPr>
                <w:color w:val="000000"/>
                <w:lang w:bidi="ar"/>
              </w:rPr>
            </w:pPr>
            <w:r>
              <w:rPr>
                <w:rFonts w:hint="eastAsia"/>
                <w:color w:val="000000"/>
                <w:lang w:bidi="ar"/>
              </w:rPr>
              <w:t xml:space="preserve">②对本项目的理解较为明确、清晰，工作重点、难点分析较为准确，解决措施较合理可行，得 </w:t>
            </w:r>
            <w:r>
              <w:rPr>
                <w:rFonts w:hint="eastAsia"/>
                <w:color w:val="000000"/>
                <w:lang w:val="en-US" w:bidi="ar"/>
              </w:rPr>
              <w:t>6</w:t>
            </w:r>
            <w:r>
              <w:rPr>
                <w:rFonts w:hint="eastAsia"/>
                <w:color w:val="000000"/>
                <w:lang w:bidi="ar"/>
              </w:rPr>
              <w:t xml:space="preserve"> 分；</w:t>
            </w:r>
          </w:p>
          <w:p>
            <w:pPr>
              <w:pStyle w:val="23"/>
              <w:spacing w:line="360" w:lineRule="auto"/>
              <w:ind w:left="108" w:right="92"/>
              <w:rPr>
                <w:color w:val="000000"/>
                <w:lang w:bidi="ar"/>
              </w:rPr>
            </w:pPr>
            <w:r>
              <w:rPr>
                <w:rFonts w:hint="eastAsia"/>
                <w:color w:val="000000"/>
                <w:lang w:bidi="ar"/>
              </w:rPr>
              <w:t xml:space="preserve">③对本项目的理解基本明确、清晰，工作重点、难点分基本准确，解决措施可行性差，得 </w:t>
            </w:r>
            <w:r>
              <w:rPr>
                <w:rFonts w:hint="eastAsia"/>
                <w:color w:val="000000"/>
                <w:lang w:val="en-US" w:bidi="ar"/>
              </w:rPr>
              <w:t>3</w:t>
            </w:r>
            <w:r>
              <w:rPr>
                <w:rFonts w:hint="eastAsia"/>
                <w:color w:val="000000"/>
                <w:lang w:bidi="ar"/>
              </w:rPr>
              <w:t xml:space="preserve"> 分；</w:t>
            </w:r>
          </w:p>
          <w:p>
            <w:pPr>
              <w:widowControl/>
              <w:spacing w:line="360" w:lineRule="auto"/>
              <w:rPr>
                <w:color w:val="000000"/>
                <w:lang w:bidi="ar"/>
              </w:rPr>
            </w:pPr>
            <w:r>
              <w:rPr>
                <w:rFonts w:hint="eastAsia"/>
                <w:color w:val="000000"/>
                <w:lang w:bidi="ar"/>
              </w:rPr>
              <w:t>④无相应描述或缺项得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18"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操控硬件和软件</w:t>
            </w:r>
          </w:p>
        </w:tc>
        <w:tc>
          <w:tcPr>
            <w:tcW w:w="851" w:type="dxa"/>
            <w:tcBorders>
              <w:top w:val="single" w:color="auto" w:sz="4" w:space="0"/>
              <w:left w:val="single" w:color="auto" w:sz="4" w:space="0"/>
              <w:bottom w:val="single" w:color="auto" w:sz="4" w:space="0"/>
              <w:right w:val="single" w:color="auto" w:sz="4" w:space="0"/>
            </w:tcBorders>
            <w:vAlign w:val="center"/>
          </w:tcPr>
          <w:p>
            <w:pPr>
              <w:pStyle w:val="23"/>
              <w:spacing w:before="1"/>
              <w:ind w:left="108"/>
              <w:rPr>
                <w:color w:val="000000"/>
                <w:lang w:bidi="ar"/>
              </w:rPr>
            </w:pPr>
            <w:r>
              <w:rPr>
                <w:rFonts w:hint="eastAsia"/>
                <w:color w:val="000000"/>
                <w:lang w:val="en-US" w:bidi="ar"/>
              </w:rPr>
              <w:t>1</w:t>
            </w:r>
            <w:r>
              <w:rPr>
                <w:rFonts w:hint="eastAsia"/>
                <w:color w:val="000000"/>
                <w:lang w:bidi="ar"/>
              </w:rPr>
              <w:t>0分</w:t>
            </w:r>
          </w:p>
        </w:tc>
        <w:tc>
          <w:tcPr>
            <w:tcW w:w="6631" w:type="dxa"/>
            <w:tcBorders>
              <w:top w:val="single" w:color="auto" w:sz="4" w:space="0"/>
              <w:left w:val="single" w:color="auto" w:sz="4" w:space="0"/>
              <w:bottom w:val="single" w:color="auto" w:sz="4" w:space="0"/>
              <w:right w:val="single" w:color="auto" w:sz="4" w:space="0"/>
            </w:tcBorders>
            <w:vAlign w:val="center"/>
          </w:tcPr>
          <w:p>
            <w:pPr>
              <w:pStyle w:val="23"/>
              <w:spacing w:before="1" w:line="360" w:lineRule="auto"/>
              <w:ind w:left="108"/>
              <w:rPr>
                <w:color w:val="000000"/>
                <w:lang w:bidi="ar"/>
              </w:rPr>
            </w:pPr>
            <w:r>
              <w:rPr>
                <w:rFonts w:hint="eastAsia"/>
                <w:color w:val="000000"/>
                <w:lang w:bidi="ar"/>
              </w:rPr>
              <w:t xml:space="preserve">①操控硬件和软件匹配，功能全面，软件系统分析清晰得 </w:t>
            </w:r>
            <w:r>
              <w:rPr>
                <w:rFonts w:hint="eastAsia"/>
                <w:color w:val="000000"/>
                <w:lang w:val="en-US" w:bidi="ar"/>
              </w:rPr>
              <w:t>10</w:t>
            </w:r>
            <w:r>
              <w:rPr>
                <w:rFonts w:hint="eastAsia"/>
                <w:color w:val="000000"/>
                <w:lang w:bidi="ar"/>
              </w:rPr>
              <w:t xml:space="preserve"> 分；</w:t>
            </w:r>
          </w:p>
          <w:p>
            <w:pPr>
              <w:pStyle w:val="23"/>
              <w:spacing w:before="1" w:line="360" w:lineRule="auto"/>
              <w:ind w:left="108"/>
              <w:rPr>
                <w:color w:val="000000"/>
                <w:lang w:bidi="ar"/>
              </w:rPr>
            </w:pPr>
            <w:r>
              <w:rPr>
                <w:rFonts w:hint="eastAsia"/>
                <w:color w:val="000000"/>
                <w:lang w:bidi="ar"/>
              </w:rPr>
              <w:t xml:space="preserve">②操控硬件和软件匹配，功能满足要求，软件系统分析基本满足需求得 </w:t>
            </w:r>
            <w:r>
              <w:rPr>
                <w:rFonts w:hint="eastAsia"/>
                <w:color w:val="000000"/>
                <w:lang w:val="en-US" w:bidi="ar"/>
              </w:rPr>
              <w:t>6</w:t>
            </w:r>
            <w:r>
              <w:rPr>
                <w:rFonts w:hint="eastAsia"/>
                <w:color w:val="000000"/>
                <w:lang w:bidi="ar"/>
              </w:rPr>
              <w:t xml:space="preserve"> 分；</w:t>
            </w:r>
          </w:p>
          <w:p>
            <w:pPr>
              <w:pStyle w:val="23"/>
              <w:spacing w:before="1" w:line="360" w:lineRule="auto"/>
              <w:ind w:left="108"/>
              <w:rPr>
                <w:color w:val="000000"/>
                <w:lang w:bidi="ar"/>
              </w:rPr>
            </w:pPr>
            <w:r>
              <w:rPr>
                <w:rFonts w:hint="eastAsia"/>
                <w:color w:val="000000"/>
                <w:lang w:bidi="ar"/>
              </w:rPr>
              <w:t>③操控硬件和软件不匹配，软件系统分析不清晰得</w:t>
            </w:r>
          </w:p>
          <w:p>
            <w:pPr>
              <w:pStyle w:val="23"/>
              <w:spacing w:before="1" w:line="360" w:lineRule="auto"/>
              <w:ind w:left="108"/>
              <w:rPr>
                <w:color w:val="000000"/>
                <w:lang w:bidi="ar"/>
              </w:rPr>
            </w:pPr>
            <w:r>
              <w:rPr>
                <w:rFonts w:hint="eastAsia"/>
                <w:color w:val="000000"/>
                <w:lang w:val="en-US" w:bidi="ar"/>
              </w:rPr>
              <w:t>3</w:t>
            </w:r>
            <w:r>
              <w:rPr>
                <w:rFonts w:hint="eastAsia"/>
                <w:color w:val="000000"/>
                <w:lang w:bidi="ar"/>
              </w:rPr>
              <w:t xml:space="preserve"> 分；</w:t>
            </w:r>
          </w:p>
          <w:p>
            <w:pPr>
              <w:pStyle w:val="23"/>
              <w:spacing w:before="1" w:line="360" w:lineRule="auto"/>
              <w:ind w:left="108"/>
              <w:rPr>
                <w:color w:val="000000"/>
                <w:lang w:bidi="ar"/>
              </w:rPr>
            </w:pPr>
            <w:r>
              <w:rPr>
                <w:rFonts w:hint="eastAsia"/>
                <w:color w:val="000000"/>
                <w:lang w:bidi="ar"/>
              </w:rPr>
              <w:t>④无相应描述或缺项得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rPr>
                <w:rFonts w:hint="eastAsia"/>
              </w:rPr>
              <w:t>合计</w:t>
            </w:r>
          </w:p>
        </w:tc>
        <w:tc>
          <w:tcPr>
            <w:tcW w:w="883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pPr>
            <w:r>
              <w:t>4</w:t>
            </w:r>
            <w:r>
              <w:rPr>
                <w:rFonts w:hint="eastAsia"/>
                <w:lang w:val="en-US"/>
              </w:rPr>
              <w:t>0</w:t>
            </w:r>
            <w:r>
              <w:rPr>
                <w:rFonts w:hint="eastAsia"/>
              </w:rPr>
              <w:t>分</w:t>
            </w:r>
          </w:p>
        </w:tc>
      </w:tr>
    </w:tbl>
    <w:p>
      <w:pPr>
        <w:spacing w:line="360" w:lineRule="auto"/>
        <w:rPr>
          <w:b/>
          <w:szCs w:val="20"/>
        </w:rPr>
      </w:pPr>
      <w:r>
        <w:rPr>
          <w:rFonts w:hint="eastAsia"/>
          <w:b/>
          <w:szCs w:val="20"/>
        </w:rPr>
        <w:t>注：未提供证明文件的，相应得分为0分。</w:t>
      </w:r>
    </w:p>
    <w:p>
      <w:pPr>
        <w:pStyle w:val="2"/>
        <w:ind w:firstLine="400"/>
      </w:pPr>
      <w:r>
        <w:br w:type="page"/>
      </w:r>
    </w:p>
    <w:p>
      <w:pPr>
        <w:spacing w:before="62"/>
        <w:ind w:left="350" w:right="388"/>
        <w:jc w:val="center"/>
        <w:rPr>
          <w:b/>
          <w:sz w:val="28"/>
        </w:rPr>
      </w:pPr>
      <w:r>
        <w:rPr>
          <w:b/>
          <w:sz w:val="28"/>
        </w:rPr>
        <w:t>价格评审表</w:t>
      </w:r>
    </w:p>
    <w:p>
      <w:pPr>
        <w:pStyle w:val="12"/>
        <w:spacing w:before="9" w:after="1"/>
        <w:rPr>
          <w:b/>
          <w:sz w:val="12"/>
        </w:rPr>
      </w:pPr>
    </w:p>
    <w:tbl>
      <w:tblPr>
        <w:tblStyle w:val="19"/>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719"/>
        <w:gridCol w:w="642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651" w:type="dxa"/>
          </w:tcPr>
          <w:p>
            <w:pPr>
              <w:pStyle w:val="23"/>
              <w:spacing w:before="2"/>
              <w:rPr>
                <w:b/>
                <w:sz w:val="16"/>
              </w:rPr>
            </w:pPr>
          </w:p>
          <w:p>
            <w:pPr>
              <w:pStyle w:val="23"/>
              <w:ind w:left="95" w:right="84"/>
              <w:jc w:val="center"/>
              <w:rPr>
                <w:b/>
                <w:sz w:val="21"/>
              </w:rPr>
            </w:pPr>
            <w:r>
              <w:rPr>
                <w:b/>
                <w:sz w:val="21"/>
              </w:rPr>
              <w:t>序号</w:t>
            </w:r>
          </w:p>
        </w:tc>
        <w:tc>
          <w:tcPr>
            <w:tcW w:w="1719" w:type="dxa"/>
          </w:tcPr>
          <w:p>
            <w:pPr>
              <w:pStyle w:val="23"/>
              <w:spacing w:before="2"/>
              <w:rPr>
                <w:b/>
                <w:sz w:val="16"/>
              </w:rPr>
            </w:pPr>
          </w:p>
          <w:p>
            <w:pPr>
              <w:pStyle w:val="23"/>
              <w:ind w:left="530"/>
              <w:rPr>
                <w:b/>
                <w:sz w:val="21"/>
              </w:rPr>
            </w:pPr>
            <w:r>
              <w:rPr>
                <w:b/>
                <w:sz w:val="21"/>
              </w:rPr>
              <w:t>评审项目</w:t>
            </w:r>
          </w:p>
        </w:tc>
        <w:tc>
          <w:tcPr>
            <w:tcW w:w="6421" w:type="dxa"/>
          </w:tcPr>
          <w:p>
            <w:pPr>
              <w:pStyle w:val="23"/>
              <w:spacing w:before="2"/>
              <w:rPr>
                <w:b/>
                <w:sz w:val="16"/>
              </w:rPr>
            </w:pPr>
          </w:p>
          <w:p>
            <w:pPr>
              <w:pStyle w:val="23"/>
              <w:ind w:left="2678" w:right="2667"/>
              <w:jc w:val="center"/>
              <w:rPr>
                <w:b/>
                <w:sz w:val="21"/>
              </w:rPr>
            </w:pPr>
            <w:r>
              <w:rPr>
                <w:b/>
                <w:sz w:val="21"/>
              </w:rPr>
              <w:t>评议内容</w:t>
            </w:r>
          </w:p>
        </w:tc>
        <w:tc>
          <w:tcPr>
            <w:tcW w:w="849" w:type="dxa"/>
          </w:tcPr>
          <w:p>
            <w:pPr>
              <w:pStyle w:val="23"/>
              <w:spacing w:before="2"/>
              <w:rPr>
                <w:b/>
                <w:sz w:val="16"/>
              </w:rPr>
            </w:pPr>
          </w:p>
          <w:p>
            <w:pPr>
              <w:pStyle w:val="23"/>
              <w:ind w:left="193" w:right="184"/>
              <w:jc w:val="center"/>
              <w:rPr>
                <w:b/>
                <w:sz w:val="21"/>
              </w:rPr>
            </w:pPr>
            <w:r>
              <w:rPr>
                <w:b/>
                <w:sz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jc w:val="center"/>
        </w:trPr>
        <w:tc>
          <w:tcPr>
            <w:tcW w:w="651" w:type="dxa"/>
            <w:vAlign w:val="center"/>
          </w:tcPr>
          <w:p>
            <w:pPr>
              <w:pStyle w:val="23"/>
              <w:jc w:val="center"/>
              <w:rPr>
                <w:sz w:val="21"/>
              </w:rPr>
            </w:pPr>
            <w:r>
              <w:rPr>
                <w:rFonts w:hint="eastAsia"/>
                <w:sz w:val="21"/>
              </w:rPr>
              <w:t>1</w:t>
            </w:r>
          </w:p>
        </w:tc>
        <w:tc>
          <w:tcPr>
            <w:tcW w:w="1719" w:type="dxa"/>
            <w:vAlign w:val="center"/>
          </w:tcPr>
          <w:p>
            <w:pPr>
              <w:pStyle w:val="23"/>
              <w:spacing w:before="105" w:line="333" w:lineRule="auto"/>
              <w:ind w:right="122"/>
              <w:jc w:val="center"/>
              <w:rPr>
                <w:b/>
                <w:sz w:val="21"/>
              </w:rPr>
            </w:pPr>
            <w:r>
              <w:rPr>
                <w:b/>
                <w:spacing w:val="-9"/>
                <w:sz w:val="21"/>
              </w:rPr>
              <w:t>投标</w:t>
            </w:r>
            <w:r>
              <w:rPr>
                <w:b/>
                <w:sz w:val="21"/>
              </w:rPr>
              <w:t>报价得分</w:t>
            </w:r>
          </w:p>
        </w:tc>
        <w:tc>
          <w:tcPr>
            <w:tcW w:w="6421" w:type="dxa"/>
          </w:tcPr>
          <w:p>
            <w:pPr>
              <w:pStyle w:val="23"/>
              <w:spacing w:line="364" w:lineRule="auto"/>
              <w:ind w:right="15" w:firstLine="420" w:firstLineChars="200"/>
              <w:jc w:val="both"/>
              <w:rPr>
                <w:sz w:val="21"/>
              </w:rPr>
            </w:pPr>
            <w:r>
              <w:rPr>
                <w:sz w:val="21"/>
              </w:rPr>
              <w:t>评标委员会对入围的投标人的投标价格进行修正核实。综合评分法中的价格分统一采用低价优先法计算，即满足招标文件要求且投标价格最低的投标报价为评标基准价，其价格分为满分。其他投标人的价格分统一按照下列公式计算</w:t>
            </w:r>
            <w:r>
              <w:rPr>
                <w:rFonts w:hint="eastAsia"/>
                <w:sz w:val="21"/>
              </w:rPr>
              <w:t>：</w:t>
            </w:r>
          </w:p>
          <w:p>
            <w:pPr>
              <w:pStyle w:val="23"/>
              <w:spacing w:line="364" w:lineRule="auto"/>
              <w:ind w:right="16"/>
              <w:rPr>
                <w:sz w:val="21"/>
                <w:lang w:val="en-US"/>
              </w:rPr>
            </w:pPr>
            <w:r>
              <w:rPr>
                <w:sz w:val="21"/>
              </w:rPr>
              <w:t>投标报价得分=(评标基准价／投标报价)×</w:t>
            </w:r>
            <w:r>
              <w:rPr>
                <w:rFonts w:hint="eastAsia"/>
                <w:sz w:val="21"/>
                <w:lang w:val="en-US"/>
              </w:rPr>
              <w:t>30</w:t>
            </w:r>
          </w:p>
          <w:p>
            <w:pPr>
              <w:pStyle w:val="23"/>
              <w:spacing w:line="364" w:lineRule="auto"/>
              <w:ind w:left="30" w:right="13"/>
              <w:rPr>
                <w:sz w:val="21"/>
              </w:rPr>
            </w:pPr>
            <w:r>
              <w:rPr>
                <w:sz w:val="21"/>
              </w:rPr>
              <w:t>因落实政府采购政策进行价格调整的，以调整后的价格计算评标基准价和投标报价。</w:t>
            </w:r>
          </w:p>
        </w:tc>
        <w:tc>
          <w:tcPr>
            <w:tcW w:w="849" w:type="dxa"/>
            <w:vAlign w:val="center"/>
          </w:tcPr>
          <w:p>
            <w:pPr>
              <w:pStyle w:val="23"/>
              <w:spacing w:line="237" w:lineRule="exact"/>
              <w:ind w:right="184"/>
              <w:jc w:val="center"/>
              <w:rPr>
                <w:sz w:val="21"/>
                <w:lang w:val="en-US"/>
              </w:rPr>
            </w:pPr>
            <w:r>
              <w:rPr>
                <w:rFonts w:hint="eastAsia"/>
                <w:sz w:val="21"/>
                <w:lang w:val="en-US"/>
              </w:rPr>
              <w:t>30</w:t>
            </w:r>
          </w:p>
        </w:tc>
      </w:tr>
    </w:tbl>
    <w:p>
      <w:pPr>
        <w:pStyle w:val="2"/>
        <w:ind w:firstLine="400"/>
      </w:pPr>
    </w:p>
    <w:p>
      <w:pPr>
        <w:pStyle w:val="12"/>
        <w:spacing w:line="360" w:lineRule="auto"/>
        <w:ind w:left="653"/>
      </w:pPr>
      <w:r>
        <w:t>具体量化打分标准如下：</w:t>
      </w:r>
    </w:p>
    <w:p>
      <w:pPr>
        <w:pStyle w:val="7"/>
        <w:numPr>
          <w:ilvl w:val="0"/>
          <w:numId w:val="47"/>
        </w:numPr>
        <w:tabs>
          <w:tab w:val="left" w:pos="653"/>
          <w:tab w:val="left" w:pos="654"/>
        </w:tabs>
        <w:spacing w:before="139"/>
        <w:ind w:hanging="422"/>
      </w:pPr>
      <w:r>
        <w:t>技术、商务评分：</w:t>
      </w:r>
    </w:p>
    <w:p>
      <w:pPr>
        <w:pStyle w:val="12"/>
        <w:spacing w:before="141" w:line="360" w:lineRule="auto"/>
        <w:ind w:left="653" w:right="266"/>
      </w:pPr>
      <w:r>
        <w:t>评标委员会分别对各投标的技术、商务响应文件中的各项内容进行评议比较，详细对比其技术、商务方案等各种因素方面是否满足招标文件的要求。在技术、商务评审表的相应项各自记名打分。</w:t>
      </w:r>
    </w:p>
    <w:p>
      <w:pPr>
        <w:pStyle w:val="7"/>
        <w:numPr>
          <w:ilvl w:val="0"/>
          <w:numId w:val="47"/>
        </w:numPr>
        <w:tabs>
          <w:tab w:val="left" w:pos="653"/>
          <w:tab w:val="left" w:pos="654"/>
        </w:tabs>
        <w:ind w:hanging="422"/>
        <w:rPr>
          <w:sz w:val="19"/>
        </w:rPr>
      </w:pPr>
      <w:r>
        <w:t>技术商务得分统计</w:t>
      </w:r>
    </w:p>
    <w:p>
      <w:pPr>
        <w:pStyle w:val="22"/>
        <w:numPr>
          <w:ilvl w:val="0"/>
          <w:numId w:val="48"/>
        </w:numPr>
        <w:tabs>
          <w:tab w:val="left" w:pos="744"/>
          <w:tab w:val="left" w:pos="745"/>
        </w:tabs>
        <w:spacing w:line="360" w:lineRule="auto"/>
        <w:ind w:firstLine="420"/>
        <w:rPr>
          <w:sz w:val="17"/>
        </w:rPr>
      </w:pPr>
      <w:r>
        <w:t>将所有评委的技术评分的算术平均值即为每个有效投标人的技术得分（四舍五入后，精确到 0.01）。</w:t>
      </w:r>
    </w:p>
    <w:p>
      <w:pPr>
        <w:pStyle w:val="22"/>
        <w:numPr>
          <w:ilvl w:val="0"/>
          <w:numId w:val="48"/>
        </w:numPr>
        <w:tabs>
          <w:tab w:val="left" w:pos="744"/>
          <w:tab w:val="left" w:pos="745"/>
        </w:tabs>
        <w:spacing w:before="1" w:line="360" w:lineRule="auto"/>
        <w:ind w:firstLine="420"/>
        <w:rPr>
          <w:sz w:val="17"/>
        </w:rPr>
      </w:pPr>
      <w:r>
        <w:t>将所有评委的商务评分的算术平均值即为每个有效投标人的商务得分（四舍五入后，精确到 0.01）。</w:t>
      </w:r>
    </w:p>
    <w:p>
      <w:pPr>
        <w:pStyle w:val="22"/>
        <w:numPr>
          <w:ilvl w:val="0"/>
          <w:numId w:val="48"/>
        </w:numPr>
        <w:tabs>
          <w:tab w:val="left" w:pos="744"/>
          <w:tab w:val="left" w:pos="745"/>
        </w:tabs>
        <w:spacing w:line="360" w:lineRule="auto"/>
        <w:ind w:firstLine="420"/>
      </w:pPr>
      <w:r>
        <w:t>将技术得分、商务得分相加得出商务技术得分。</w:t>
      </w:r>
    </w:p>
    <w:p>
      <w:pPr>
        <w:pStyle w:val="7"/>
        <w:numPr>
          <w:ilvl w:val="0"/>
          <w:numId w:val="47"/>
        </w:numPr>
        <w:tabs>
          <w:tab w:val="left" w:pos="653"/>
          <w:tab w:val="left" w:pos="654"/>
        </w:tabs>
        <w:spacing w:before="110"/>
        <w:ind w:hanging="422"/>
      </w:pPr>
      <w:r>
        <w:t>价格核准和评分</w:t>
      </w:r>
    </w:p>
    <w:p>
      <w:pPr>
        <w:pStyle w:val="12"/>
        <w:spacing w:before="4" w:line="360" w:lineRule="auto"/>
        <w:rPr>
          <w:b/>
          <w:sz w:val="9"/>
        </w:rPr>
      </w:pPr>
    </w:p>
    <w:p>
      <w:pPr>
        <w:spacing w:line="360" w:lineRule="auto"/>
        <w:ind w:firstLine="442" w:firstLineChars="200"/>
        <w:rPr>
          <w:b/>
        </w:rPr>
      </w:pPr>
      <w:r>
        <w:rPr>
          <w:b/>
          <w:u w:val="single"/>
        </w:rPr>
        <w:t>评标委员会认为投标人的报价明显低于其他通过符合性审查投标人的报价，有可能影响产品质量或者不能诚信履约的，将要求其在评标现场在评委规定的时间内提供书面说明，必要时提交相关证明材料；投标人不能证明其报价合理性的，评标委员会将其作为无效投标处理。</w:t>
      </w:r>
    </w:p>
    <w:p>
      <w:pPr>
        <w:pStyle w:val="12"/>
        <w:spacing w:before="8" w:line="360" w:lineRule="auto"/>
        <w:rPr>
          <w:b/>
          <w:sz w:val="11"/>
        </w:rPr>
      </w:pPr>
    </w:p>
    <w:p>
      <w:pPr>
        <w:rPr>
          <w:b/>
        </w:rPr>
      </w:pPr>
      <w:r>
        <w:rPr>
          <w:b/>
        </w:rPr>
        <w:br w:type="page"/>
      </w:r>
    </w:p>
    <w:p>
      <w:pPr>
        <w:pStyle w:val="7"/>
        <w:numPr>
          <w:ilvl w:val="0"/>
          <w:numId w:val="47"/>
        </w:numPr>
        <w:tabs>
          <w:tab w:val="left" w:pos="653"/>
          <w:tab w:val="left" w:pos="654"/>
        </w:tabs>
        <w:spacing w:before="110"/>
        <w:ind w:hanging="422"/>
        <w:rPr>
          <w:b w:val="0"/>
        </w:rPr>
      </w:pPr>
      <w:r>
        <w:rPr>
          <w:b w:val="0"/>
        </w:rPr>
        <w:t>价格的核准：</w:t>
      </w:r>
    </w:p>
    <w:p>
      <w:pPr>
        <w:pStyle w:val="12"/>
        <w:spacing w:before="1" w:line="360" w:lineRule="auto"/>
        <w:ind w:right="447" w:firstLine="480" w:firstLineChars="200"/>
      </w:pPr>
      <w:r>
        <w:t>评委先对入围投标人的投标报价进行复核，投标文件报价出现前后不一致的，按照下列规定修正：</w:t>
      </w:r>
    </w:p>
    <w:p>
      <w:pPr>
        <w:pStyle w:val="22"/>
        <w:tabs>
          <w:tab w:val="left" w:pos="866"/>
        </w:tabs>
        <w:spacing w:line="360" w:lineRule="auto"/>
        <w:ind w:left="440" w:leftChars="200" w:right="1502" w:firstLine="0"/>
        <w:rPr>
          <w:rFonts w:ascii="Tahoma" w:hAnsi="Tahoma"/>
          <w:szCs w:val="20"/>
        </w:rPr>
      </w:pPr>
      <w:r>
        <w:rPr>
          <w:rFonts w:ascii="Tahoma" w:hAnsi="Tahoma"/>
          <w:szCs w:val="20"/>
        </w:rPr>
        <w:t>a.投标文件中开标一览表内容与投标文件中相应内容不一致的，以开标一览表为准；</w:t>
      </w:r>
    </w:p>
    <w:p>
      <w:pPr>
        <w:pStyle w:val="22"/>
        <w:tabs>
          <w:tab w:val="left" w:pos="866"/>
        </w:tabs>
        <w:spacing w:line="360" w:lineRule="auto"/>
        <w:ind w:left="440" w:leftChars="200" w:right="1502" w:firstLine="0"/>
        <w:rPr>
          <w:rFonts w:ascii="Tahoma" w:hAnsi="Tahoma"/>
          <w:szCs w:val="20"/>
        </w:rPr>
      </w:pPr>
      <w:r>
        <w:rPr>
          <w:rFonts w:ascii="Tahoma" w:hAnsi="Tahoma"/>
          <w:szCs w:val="20"/>
        </w:rPr>
        <w:t>b.大写金额和小写金额不一致的，以大写金额为准；</w:t>
      </w:r>
    </w:p>
    <w:p>
      <w:pPr>
        <w:pStyle w:val="22"/>
        <w:tabs>
          <w:tab w:val="left" w:pos="866"/>
        </w:tabs>
        <w:spacing w:line="360" w:lineRule="auto"/>
        <w:ind w:left="440" w:leftChars="200" w:right="1502" w:firstLine="0"/>
        <w:rPr>
          <w:rFonts w:ascii="Tahoma" w:hAnsi="Tahoma"/>
          <w:szCs w:val="20"/>
        </w:rPr>
      </w:pPr>
      <w:r>
        <w:rPr>
          <w:rFonts w:ascii="Tahoma" w:hAnsi="Tahoma"/>
          <w:szCs w:val="20"/>
        </w:rPr>
        <w:t>C.单价金额小数点或者百分比有明显错位的，以开标一览表的总价为准，并修改单价；</w:t>
      </w:r>
    </w:p>
    <w:p>
      <w:pPr>
        <w:pStyle w:val="22"/>
        <w:tabs>
          <w:tab w:val="left" w:pos="866"/>
        </w:tabs>
        <w:spacing w:line="360" w:lineRule="auto"/>
        <w:ind w:left="440" w:leftChars="200" w:right="1502" w:firstLine="0"/>
        <w:rPr>
          <w:rFonts w:ascii="Tahoma" w:hAnsi="Tahoma"/>
          <w:szCs w:val="20"/>
        </w:rPr>
      </w:pPr>
      <w:r>
        <w:rPr>
          <w:rFonts w:ascii="Tahoma" w:hAnsi="Tahoma"/>
          <w:szCs w:val="20"/>
        </w:rPr>
        <w:t>d.总价金额与按单价汇总金额不一致的，以单价金额计算结果为准。</w:t>
      </w:r>
    </w:p>
    <w:p>
      <w:pPr>
        <w:pStyle w:val="12"/>
        <w:spacing w:before="4" w:line="360" w:lineRule="auto"/>
        <w:ind w:left="232" w:right="163" w:firstLine="420"/>
      </w:pPr>
      <w:r>
        <w:t>同时出现两种以上不一致的，按照前款规定的顺序修正。对不同文字文本投标文件的解释发生异议的， 以中文文本为准。</w:t>
      </w:r>
    </w:p>
    <w:p>
      <w:pPr>
        <w:pStyle w:val="12"/>
        <w:spacing w:before="1" w:line="360" w:lineRule="auto"/>
        <w:ind w:right="447" w:firstLine="480" w:firstLineChars="200"/>
        <w:rPr>
          <w:sz w:val="17"/>
        </w:rPr>
      </w:pPr>
      <w:r>
        <w:t>对投标货物/服务的关键、主要内容，投标供应商报价漏项的，作非实质性响应投标处理。</w:t>
      </w:r>
    </w:p>
    <w:p>
      <w:pPr>
        <w:pStyle w:val="12"/>
        <w:spacing w:before="1" w:line="360" w:lineRule="auto"/>
        <w:ind w:right="447" w:firstLine="480" w:firstLineChars="200"/>
      </w:pPr>
      <w:r>
        <w:t>对投标货物/服务的非关键、非主要内容的费用，如果投标供应商是另行单独报价的，评标时也相应另行计入其评标价。对投标货物/服务的非关键、非主要内容，投标供应商报价漏项的，评标委员会将以其它投标供应商对应项的最高投标报价补充计入其评标价，若其获得中标资格，该项目的中标价为其原来的开标一览表价格，其漏项部分风险自担，视作已含在投标报价中，并以开标一览表价格签订合同。</w:t>
      </w:r>
    </w:p>
    <w:p>
      <w:pPr>
        <w:pStyle w:val="12"/>
        <w:spacing w:before="1" w:line="360" w:lineRule="auto"/>
        <w:ind w:right="447" w:firstLine="480" w:firstLineChars="200"/>
      </w:pPr>
      <w:r>
        <w:t>对数量的评审，以第</w:t>
      </w:r>
      <w:r>
        <w:rPr>
          <w:rFonts w:hint="eastAsia"/>
        </w:rPr>
        <w:t>二章</w:t>
      </w:r>
      <w:r>
        <w:t>《</w:t>
      </w:r>
      <w:r>
        <w:rPr>
          <w:rFonts w:hint="eastAsia"/>
        </w:rPr>
        <w:t>项目</w:t>
      </w:r>
      <w:r>
        <w:t>需求</w:t>
      </w:r>
      <w:r>
        <w:rPr>
          <w:rFonts w:hint="eastAsia"/>
        </w:rPr>
        <w:t>书</w:t>
      </w:r>
      <w:r>
        <w:t>》所明示数量为准；《</w:t>
      </w:r>
      <w:r>
        <w:rPr>
          <w:rFonts w:hint="eastAsia"/>
        </w:rPr>
        <w:t>项目</w:t>
      </w:r>
      <w:r>
        <w:t>需求</w:t>
      </w:r>
      <w:r>
        <w:rPr>
          <w:rFonts w:hint="eastAsia"/>
        </w:rPr>
        <w:t>书</w:t>
      </w:r>
      <w:r>
        <w:t>》未明示的，由评标委员会以其专业知识判断，必要时参考投标供应商的澄清文件决定。</w:t>
      </w:r>
    </w:p>
    <w:p>
      <w:pPr>
        <w:pStyle w:val="12"/>
        <w:spacing w:before="1" w:line="360" w:lineRule="auto"/>
        <w:ind w:right="447" w:firstLine="480" w:firstLineChars="200"/>
      </w:pPr>
      <w:r>
        <w:t>对出现以上情况或因明显笔误而需修正任何内容时，均以评委会审定通过方为有效。</w:t>
      </w:r>
      <w:r>
        <w:rPr>
          <w:b/>
          <w:u w:val="single"/>
        </w:rPr>
        <w:t>按上述修正错误的方法调整后的投标报价，需由投标人加盖公章或者由法定代表人或其授权的代表签字确认。投标报价经投标人确认后产生约束力，投标人不确认的，其投标无效。</w:t>
      </w:r>
    </w:p>
    <w:p>
      <w:pPr>
        <w:pStyle w:val="2"/>
        <w:ind w:firstLine="400"/>
      </w:pPr>
    </w:p>
    <w:p>
      <w:pPr>
        <w:numPr>
          <w:ilvl w:val="3"/>
          <w:numId w:val="2"/>
        </w:numPr>
        <w:tabs>
          <w:tab w:val="center" w:pos="210"/>
          <w:tab w:val="center" w:pos="420"/>
          <w:tab w:val="center" w:pos="630"/>
        </w:tabs>
        <w:spacing w:line="360" w:lineRule="auto"/>
        <w:outlineLvl w:val="2"/>
        <w:rPr>
          <w:b/>
        </w:rPr>
      </w:pPr>
      <w:r>
        <w:rPr>
          <w:rFonts w:hint="eastAsia"/>
          <w:b/>
        </w:rPr>
        <w:t>投标文件的澄清</w:t>
      </w:r>
    </w:p>
    <w:p>
      <w:pPr>
        <w:numPr>
          <w:ilvl w:val="0"/>
          <w:numId w:val="49"/>
        </w:numPr>
        <w:spacing w:line="360" w:lineRule="auto"/>
      </w:pPr>
      <w:r>
        <w:rPr>
          <w:rFonts w:hint="eastAsia"/>
          <w:szCs w:val="21"/>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49"/>
        </w:numPr>
        <w:spacing w:line="360" w:lineRule="auto"/>
      </w:pPr>
      <w:r>
        <w:rPr>
          <w:rFonts w:hint="eastAsia"/>
        </w:rPr>
        <w:t>投标人的澄清文件是其投标文件的组成部分。</w:t>
      </w:r>
    </w:p>
    <w:p>
      <w:pPr>
        <w:numPr>
          <w:ilvl w:val="3"/>
          <w:numId w:val="2"/>
        </w:numPr>
        <w:tabs>
          <w:tab w:val="center" w:pos="210"/>
          <w:tab w:val="center" w:pos="420"/>
          <w:tab w:val="center" w:pos="630"/>
        </w:tabs>
        <w:spacing w:line="360" w:lineRule="auto"/>
        <w:outlineLvl w:val="2"/>
        <w:rPr>
          <w:b/>
        </w:rPr>
      </w:pPr>
      <w:r>
        <w:rPr>
          <w:rFonts w:hint="eastAsia"/>
          <w:b/>
        </w:rPr>
        <w:t>授标</w:t>
      </w:r>
    </w:p>
    <w:p>
      <w:pPr>
        <w:numPr>
          <w:ilvl w:val="0"/>
          <w:numId w:val="50"/>
        </w:numPr>
        <w:spacing w:line="360" w:lineRule="auto"/>
      </w:pPr>
      <w:r>
        <w:rPr>
          <w:rFonts w:hint="eastAsia"/>
        </w:rPr>
        <w:t>评标委员会按照招标文件确定的评标方法、步骤、标准，对投标文件进行评估，综合比较与评价，提出书面</w:t>
      </w:r>
      <w:r>
        <w:t>评</w:t>
      </w:r>
      <w:r>
        <w:rPr>
          <w:rFonts w:hint="eastAsia"/>
        </w:rPr>
        <w:t>标报告。</w:t>
      </w:r>
    </w:p>
    <w:p>
      <w:pPr>
        <w:numPr>
          <w:ilvl w:val="0"/>
          <w:numId w:val="50"/>
        </w:numPr>
        <w:spacing w:line="360" w:lineRule="auto"/>
        <w:rPr>
          <w:szCs w:val="21"/>
        </w:rPr>
      </w:pPr>
      <w:r>
        <w:rPr>
          <w:rFonts w:hint="eastAsia"/>
          <w:szCs w:val="21"/>
        </w:rPr>
        <w:t>采用综合评分法的，评标结果按评审后得分由高到低顺序排列。得分相同的，按投技术评分由高到低顺序排列；如以上都相同的，名次由评标委员会推选代表采用随机抽取方式确定。投标文件满足招标文件全部实质性要求，且按照评审因素的量化指标评审得分，由高至低依次推荐前三名为第一中标候选人、第二中标候选人、第三中标候选人。《投标须知前附表》另有规定的，按照其规定。</w:t>
      </w:r>
    </w:p>
    <w:p>
      <w:pPr>
        <w:numPr>
          <w:ilvl w:val="0"/>
          <w:numId w:val="50"/>
        </w:numPr>
        <w:spacing w:line="360" w:lineRule="auto"/>
        <w:rPr>
          <w:szCs w:val="21"/>
        </w:rPr>
      </w:pPr>
      <w:r>
        <w:t>采购代理机构应当自评</w:t>
      </w:r>
      <w:r>
        <w:rPr>
          <w:rFonts w:hint="eastAsia"/>
        </w:rPr>
        <w:t>标</w:t>
      </w:r>
      <w:r>
        <w:t>结束之日起2个工作日内将评</w:t>
      </w:r>
      <w:r>
        <w:rPr>
          <w:rFonts w:hint="eastAsia"/>
        </w:rPr>
        <w:t>标</w:t>
      </w:r>
      <w:r>
        <w:t>报告送交采购人。采购人应当自收到评</w:t>
      </w:r>
      <w:r>
        <w:rPr>
          <w:rFonts w:hint="eastAsia"/>
        </w:rPr>
        <w:t>标</w:t>
      </w:r>
      <w:r>
        <w:t>报告之日起5个工作日内在评</w:t>
      </w:r>
      <w:r>
        <w:rPr>
          <w:rFonts w:hint="eastAsia"/>
        </w:rPr>
        <w:t>标</w:t>
      </w:r>
      <w:r>
        <w:t>报告</w:t>
      </w:r>
      <w:r>
        <w:rPr>
          <w:rFonts w:hint="eastAsia"/>
        </w:rPr>
        <w:t>确定</w:t>
      </w:r>
      <w:r>
        <w:t>的中标候选人中按顺序确定中标人。</w:t>
      </w:r>
    </w:p>
    <w:p>
      <w:pPr>
        <w:numPr>
          <w:ilvl w:val="0"/>
          <w:numId w:val="50"/>
        </w:numPr>
        <w:spacing w:line="360" w:lineRule="auto"/>
        <w:rPr>
          <w:szCs w:val="21"/>
        </w:rPr>
      </w:pPr>
      <w:r>
        <w:t>采购人或者采购代理机构应当自中标人确定之日起2个工作日内，发出中标通知书，并在省级以上政府财政部门指定的媒体上公告中标结果</w:t>
      </w:r>
      <w:r>
        <w:rPr>
          <w:rFonts w:hint="eastAsia"/>
          <w:szCs w:val="21"/>
        </w:rPr>
        <w:t>。</w:t>
      </w:r>
    </w:p>
    <w:p>
      <w:pPr>
        <w:numPr>
          <w:ilvl w:val="3"/>
          <w:numId w:val="2"/>
        </w:numPr>
        <w:tabs>
          <w:tab w:val="center" w:pos="210"/>
          <w:tab w:val="center" w:pos="420"/>
          <w:tab w:val="center" w:pos="630"/>
        </w:tabs>
        <w:spacing w:line="360" w:lineRule="auto"/>
        <w:outlineLvl w:val="2"/>
        <w:rPr>
          <w:b/>
        </w:rPr>
      </w:pPr>
      <w:r>
        <w:rPr>
          <w:rFonts w:hint="eastAsia"/>
          <w:b/>
        </w:rPr>
        <w:t>替补候选人的设定与使用</w:t>
      </w:r>
    </w:p>
    <w:p>
      <w:pPr>
        <w:numPr>
          <w:ilvl w:val="0"/>
          <w:numId w:val="51"/>
        </w:numPr>
        <w:spacing w:line="360" w:lineRule="auto"/>
        <w:rPr>
          <w:szCs w:val="21"/>
        </w:rPr>
      </w:pPr>
      <w:r>
        <w:rPr>
          <w:rFonts w:hint="eastAsia"/>
          <w:szCs w:val="21"/>
        </w:rPr>
        <w:t>排名第一的中标候选人放弃中标、或因不可抗力提出不能履行合同、或者招标文件规定应当递交履约担保而在规定的期限内未能递交、或</w:t>
      </w:r>
      <w:r>
        <w:t>中标人拒绝与采购人签订合同的，采购人可以按照评</w:t>
      </w:r>
      <w:r>
        <w:rPr>
          <w:rFonts w:hint="eastAsia"/>
        </w:rPr>
        <w:t>标</w:t>
      </w:r>
      <w:r>
        <w:t>报告推荐的中标候选人名单排序，确定下一候选人为中标人，也可以重新开展政府采购活动。</w:t>
      </w:r>
    </w:p>
    <w:p>
      <w:pPr>
        <w:numPr>
          <w:ilvl w:val="3"/>
          <w:numId w:val="2"/>
        </w:numPr>
        <w:tabs>
          <w:tab w:val="center" w:pos="210"/>
          <w:tab w:val="center" w:pos="420"/>
          <w:tab w:val="center" w:pos="630"/>
        </w:tabs>
        <w:spacing w:line="360" w:lineRule="auto"/>
        <w:outlineLvl w:val="2"/>
        <w:rPr>
          <w:b/>
        </w:rPr>
      </w:pPr>
      <w:r>
        <w:rPr>
          <w:rFonts w:hint="eastAsia"/>
          <w:b/>
        </w:rPr>
        <w:t>招标失败处理</w:t>
      </w:r>
    </w:p>
    <w:p>
      <w:pPr>
        <w:spacing w:line="360" w:lineRule="auto"/>
        <w:ind w:firstLine="330" w:firstLineChars="150"/>
        <w:rPr>
          <w:szCs w:val="21"/>
        </w:rPr>
      </w:pPr>
      <w:r>
        <w:rPr>
          <w:rFonts w:hint="eastAsia"/>
          <w:szCs w:val="21"/>
        </w:rPr>
        <w:t>根据《中华人民共和国政府采购法》第三十六条规定，下列情况出现将作废标处理：</w:t>
      </w:r>
    </w:p>
    <w:p>
      <w:pPr>
        <w:tabs>
          <w:tab w:val="left" w:pos="420"/>
        </w:tabs>
        <w:spacing w:line="360" w:lineRule="auto"/>
        <w:ind w:left="660" w:leftChars="50" w:hanging="550" w:hangingChars="250"/>
      </w:pPr>
      <w:r>
        <w:rPr>
          <w:rFonts w:hint="eastAsia"/>
        </w:rPr>
        <w:t>（1）符合专业资格条件的投标人或者对招标文件作实质响应的有效投标人不足三家的；</w:t>
      </w:r>
    </w:p>
    <w:p>
      <w:pPr>
        <w:tabs>
          <w:tab w:val="left" w:pos="420"/>
        </w:tabs>
        <w:spacing w:line="360" w:lineRule="auto"/>
        <w:ind w:firstLine="110" w:firstLineChars="50"/>
      </w:pPr>
      <w:r>
        <w:rPr>
          <w:rFonts w:hint="eastAsia"/>
        </w:rPr>
        <w:t xml:space="preserve">（2）出现影响采购公正的违法、违规行为的； </w:t>
      </w:r>
    </w:p>
    <w:p>
      <w:pPr>
        <w:tabs>
          <w:tab w:val="left" w:pos="420"/>
        </w:tabs>
        <w:spacing w:line="360" w:lineRule="auto"/>
        <w:ind w:firstLine="110" w:firstLineChars="50"/>
      </w:pPr>
      <w:r>
        <w:rPr>
          <w:rFonts w:hint="eastAsia"/>
        </w:rPr>
        <w:t xml:space="preserve">（3）投标人的报价均超过了采购预算，采购人不能支付的； </w:t>
      </w:r>
    </w:p>
    <w:p>
      <w:pPr>
        <w:tabs>
          <w:tab w:val="left" w:pos="420"/>
        </w:tabs>
        <w:spacing w:line="360" w:lineRule="auto"/>
        <w:ind w:firstLine="110" w:firstLineChars="50"/>
      </w:pPr>
      <w:r>
        <w:rPr>
          <w:rFonts w:hint="eastAsia"/>
        </w:rPr>
        <w:t>（4）因重大变故，采购任务取消的。</w:t>
      </w:r>
    </w:p>
    <w:p>
      <w:pPr>
        <w:tabs>
          <w:tab w:val="left" w:pos="420"/>
        </w:tabs>
        <w:spacing w:line="360" w:lineRule="auto"/>
        <w:ind w:firstLine="110" w:firstLineChars="50"/>
      </w:pPr>
      <w:r>
        <w:rPr>
          <w:rFonts w:hint="eastAsia"/>
        </w:rPr>
        <w:t xml:space="preserve">  </w:t>
      </w:r>
    </w:p>
    <w:p>
      <w:pPr>
        <w:pStyle w:val="4"/>
        <w:numPr>
          <w:ilvl w:val="0"/>
          <w:numId w:val="1"/>
        </w:numPr>
        <w:spacing w:before="240"/>
        <w:ind w:firstLine="482"/>
      </w:pPr>
      <w:bookmarkStart w:id="32" w:name="_Toc29506"/>
      <w:r>
        <w:rPr>
          <w:rFonts w:hint="eastAsia"/>
        </w:rPr>
        <w:t>质疑</w:t>
      </w:r>
      <w:bookmarkEnd w:id="32"/>
    </w:p>
    <w:p>
      <w:pPr>
        <w:numPr>
          <w:ilvl w:val="3"/>
          <w:numId w:val="2"/>
        </w:numPr>
        <w:tabs>
          <w:tab w:val="center" w:pos="210"/>
          <w:tab w:val="center" w:pos="420"/>
          <w:tab w:val="center" w:pos="630"/>
        </w:tabs>
        <w:spacing w:line="360" w:lineRule="auto"/>
        <w:outlineLvl w:val="2"/>
        <w:rPr>
          <w:b/>
        </w:rPr>
      </w:pPr>
      <w:r>
        <w:rPr>
          <w:rFonts w:hint="eastAsia"/>
          <w:b/>
        </w:rPr>
        <w:t>质疑与答复</w:t>
      </w:r>
    </w:p>
    <w:p>
      <w:pPr>
        <w:numPr>
          <w:ilvl w:val="0"/>
          <w:numId w:val="52"/>
        </w:numPr>
        <w:spacing w:line="360" w:lineRule="auto"/>
        <w:rPr>
          <w:szCs w:val="21"/>
        </w:rPr>
      </w:pPr>
      <w:r>
        <w:rPr>
          <w:rFonts w:hint="eastAsia"/>
        </w:rPr>
        <w:t> 供应商认为采购文件、采购过程和中标结果使自己的权益受到损害的，可以在知道或者应知其权益受到损害之日起七个工作日内，</w:t>
      </w:r>
      <w:r>
        <w:rPr>
          <w:rFonts w:hint="eastAsia"/>
          <w:szCs w:val="21"/>
        </w:rPr>
        <w:t>以书面形式向采购代理机构提出质疑，</w:t>
      </w:r>
      <w:r>
        <w:t>供应商质疑应当有明确的请求和必要的证明材料</w:t>
      </w:r>
      <w:r>
        <w:rPr>
          <w:rFonts w:hint="eastAsia"/>
        </w:rPr>
        <w:t>，</w:t>
      </w:r>
      <w:r>
        <w:rPr>
          <w:rFonts w:hint="eastAsia"/>
          <w:szCs w:val="21"/>
        </w:rPr>
        <w:t>逾期质疑无效。</w:t>
      </w:r>
    </w:p>
    <w:p>
      <w:pPr>
        <w:numPr>
          <w:ilvl w:val="0"/>
          <w:numId w:val="52"/>
        </w:numPr>
        <w:spacing w:line="360" w:lineRule="auto"/>
        <w:rPr>
          <w:szCs w:val="21"/>
        </w:rPr>
      </w:pPr>
      <w:r>
        <w:rPr>
          <w:rFonts w:hint="eastAsia"/>
          <w:szCs w:val="21"/>
        </w:rPr>
        <w:t>质疑函应当署名。质疑人为自然人的，应当由本人签字；质疑人为法人或者其他组织的，应当由法定代表人或者投标人代表签字并加盖公章。质疑函应写明联系人及联系方式，且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管理部门依法处理。</w:t>
      </w:r>
    </w:p>
    <w:p>
      <w:pPr>
        <w:numPr>
          <w:ilvl w:val="0"/>
          <w:numId w:val="52"/>
        </w:numPr>
        <w:spacing w:line="360" w:lineRule="auto"/>
        <w:rPr>
          <w:szCs w:val="21"/>
        </w:rPr>
      </w:pPr>
      <w:r>
        <w:rPr>
          <w:rFonts w:hint="eastAsia"/>
        </w:rPr>
        <w:t>质疑人对采购人、采购代理机构的答复不满意或者采购人、采购代理机构未在规定的时间内作出答复的，可以在答复期满后十五个工作日内向同级政府采购监督管理部门投诉。</w:t>
      </w:r>
    </w:p>
    <w:p>
      <w:pPr>
        <w:pStyle w:val="4"/>
        <w:numPr>
          <w:ilvl w:val="0"/>
          <w:numId w:val="1"/>
        </w:numPr>
        <w:spacing w:before="240"/>
        <w:ind w:firstLine="482"/>
      </w:pPr>
      <w:bookmarkStart w:id="33" w:name="_Toc24945"/>
      <w:r>
        <w:rPr>
          <w:rFonts w:hint="eastAsia"/>
        </w:rPr>
        <w:t>合同的订立和履行</w:t>
      </w:r>
      <w:bookmarkEnd w:id="33"/>
    </w:p>
    <w:p>
      <w:pPr>
        <w:numPr>
          <w:ilvl w:val="3"/>
          <w:numId w:val="2"/>
        </w:numPr>
        <w:tabs>
          <w:tab w:val="center" w:pos="210"/>
          <w:tab w:val="center" w:pos="420"/>
          <w:tab w:val="center" w:pos="630"/>
        </w:tabs>
        <w:spacing w:line="360" w:lineRule="auto"/>
        <w:outlineLvl w:val="2"/>
        <w:rPr>
          <w:b/>
        </w:rPr>
      </w:pPr>
      <w:r>
        <w:rPr>
          <w:rFonts w:hint="eastAsia"/>
          <w:b/>
        </w:rPr>
        <w:t>合同的订立</w:t>
      </w:r>
    </w:p>
    <w:p>
      <w:pPr>
        <w:numPr>
          <w:ilvl w:val="0"/>
          <w:numId w:val="53"/>
        </w:numPr>
        <w:spacing w:line="360" w:lineRule="auto"/>
      </w:pPr>
      <w:r>
        <w:rPr>
          <w:rFonts w:hint="eastAsia"/>
          <w:szCs w:val="21"/>
        </w:rPr>
        <w:t>在合同签订前，中标人须提供营业执照、税务登记证和在投标文件中提供的资质证明文件、业绩合同等主要证明文件（如授权其分支机构进行项目实施或提供售后服务的，亦应提供其与分支机构关系的法律证明材料）的原件给采购人进行核对。</w:t>
      </w:r>
    </w:p>
    <w:p>
      <w:pPr>
        <w:numPr>
          <w:ilvl w:val="0"/>
          <w:numId w:val="53"/>
        </w:numPr>
        <w:spacing w:line="360" w:lineRule="auto"/>
        <w:rPr>
          <w:szCs w:val="21"/>
        </w:rPr>
      </w:pPr>
      <w:r>
        <w:rPr>
          <w:rFonts w:hint="eastAsia"/>
          <w:szCs w:val="21"/>
        </w:rPr>
        <w:t>采购人应当自中标通知书发出之日起三十日内，按招标文件要求和中标人投标文件的规定，与中标人签订书面合同。所签订的合同不得对招标文件确定的事项和中标人投标文件作实质性修改。</w:t>
      </w:r>
    </w:p>
    <w:p>
      <w:pPr>
        <w:numPr>
          <w:ilvl w:val="0"/>
          <w:numId w:val="53"/>
        </w:numPr>
        <w:spacing w:line="360" w:lineRule="auto"/>
        <w:rPr>
          <w:szCs w:val="21"/>
        </w:rPr>
      </w:pPr>
      <w:r>
        <w:rPr>
          <w:rFonts w:hint="eastAsia"/>
        </w:rPr>
        <w:t>采购代理机构或</w:t>
      </w:r>
      <w:r>
        <w:t>采购人应当自政府采购合同签订之日起2个工作日内，将政府采购合同在省级以上人民政府财政部门指定的媒体上公告，但政府采购合同中涉及国家秘密、商业秘密的内容除外。</w:t>
      </w:r>
    </w:p>
    <w:p>
      <w:pPr>
        <w:numPr>
          <w:ilvl w:val="0"/>
          <w:numId w:val="53"/>
        </w:numPr>
        <w:spacing w:line="360" w:lineRule="auto"/>
        <w:rPr>
          <w:szCs w:val="21"/>
        </w:rPr>
      </w:pPr>
      <w:r>
        <w:rPr>
          <w:rFonts w:hint="eastAsia"/>
          <w:szCs w:val="21"/>
        </w:rPr>
        <w:t>签订政府采购合同后7个工作日内，采购人应将政府采购合同副本报同级政府采购监督管理部门备案。</w:t>
      </w:r>
    </w:p>
    <w:p>
      <w:pPr>
        <w:numPr>
          <w:ilvl w:val="3"/>
          <w:numId w:val="2"/>
        </w:numPr>
        <w:tabs>
          <w:tab w:val="center" w:pos="210"/>
          <w:tab w:val="center" w:pos="420"/>
          <w:tab w:val="center" w:pos="630"/>
        </w:tabs>
        <w:spacing w:line="360" w:lineRule="auto"/>
        <w:outlineLvl w:val="2"/>
        <w:rPr>
          <w:b/>
        </w:rPr>
      </w:pPr>
      <w:r>
        <w:rPr>
          <w:rFonts w:hint="eastAsia"/>
          <w:b/>
        </w:rPr>
        <w:t>合同的履行</w:t>
      </w:r>
    </w:p>
    <w:p>
      <w:pPr>
        <w:numPr>
          <w:ilvl w:val="0"/>
          <w:numId w:val="54"/>
        </w:numPr>
        <w:spacing w:line="360" w:lineRule="auto"/>
        <w:rPr>
          <w:szCs w:val="21"/>
        </w:rPr>
      </w:pPr>
      <w:r>
        <w:rPr>
          <w:rFonts w:hint="eastAsia"/>
          <w:szCs w:val="21"/>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numPr>
          <w:ilvl w:val="0"/>
          <w:numId w:val="54"/>
        </w:numPr>
        <w:spacing w:line="360" w:lineRule="auto"/>
        <w:rPr>
          <w:szCs w:val="21"/>
        </w:rPr>
      </w:pPr>
      <w:r>
        <w:rPr>
          <w:rFonts w:hint="eastAsia"/>
          <w:szCs w:val="21"/>
        </w:rPr>
        <w:t>政府采购合同履行中，采购人需追加与合同标的相同的货物、工程或者服务的，在不改变合同其他条款的前提下，可以与供应商签订补充合同，但所补充合同采购金额不得超过原采购金额的百分之十。签订补充合同的必须按照合同的订立的42.3条规定公告和42.4条规定备案。</w:t>
      </w:r>
    </w:p>
    <w:p>
      <w:pPr>
        <w:pStyle w:val="4"/>
        <w:numPr>
          <w:ilvl w:val="0"/>
          <w:numId w:val="1"/>
        </w:numPr>
        <w:spacing w:before="240"/>
        <w:ind w:firstLine="482"/>
      </w:pPr>
      <w:bookmarkStart w:id="34" w:name="_Toc6397"/>
      <w:r>
        <w:rPr>
          <w:rFonts w:hint="eastAsia"/>
        </w:rPr>
        <w:t>关于中小企业、监狱企业和</w:t>
      </w:r>
      <w:r>
        <w:t>残疾人福利性单位</w:t>
      </w:r>
      <w:r>
        <w:rPr>
          <w:rFonts w:hint="eastAsia"/>
        </w:rPr>
        <w:t>投标</w:t>
      </w:r>
      <w:bookmarkEnd w:id="34"/>
    </w:p>
    <w:p>
      <w:pPr>
        <w:numPr>
          <w:ilvl w:val="3"/>
          <w:numId w:val="2"/>
        </w:numPr>
        <w:tabs>
          <w:tab w:val="center" w:pos="210"/>
          <w:tab w:val="center" w:pos="420"/>
          <w:tab w:val="center" w:pos="630"/>
        </w:tabs>
        <w:spacing w:line="360" w:lineRule="auto"/>
        <w:outlineLvl w:val="2"/>
        <w:rPr>
          <w:b/>
        </w:rPr>
      </w:pPr>
      <w:r>
        <w:rPr>
          <w:rFonts w:hint="eastAsia"/>
          <w:b/>
        </w:rPr>
        <w:t>政府采购信用担保</w:t>
      </w:r>
    </w:p>
    <w:p>
      <w:pPr>
        <w:numPr>
          <w:ilvl w:val="0"/>
          <w:numId w:val="55"/>
        </w:numPr>
        <w:spacing w:line="360" w:lineRule="auto"/>
        <w:rPr>
          <w:szCs w:val="21"/>
        </w:rPr>
      </w:pPr>
      <w:r>
        <w:rPr>
          <w:rFonts w:hint="eastAsia"/>
          <w:szCs w:val="21"/>
        </w:rPr>
        <w:t>为进一步发挥政府采购政策功能作用，支持和促进中小企业发展，有效缓解企业资金短缺压力，根据政府采购信用担保相关政策的精神，本项目欢迎供应商使用融资担保手段，并由试点地区的专业担保机构作为中标人向当地金融机构融资授信的承办机构。</w:t>
      </w:r>
    </w:p>
    <w:p>
      <w:pPr>
        <w:numPr>
          <w:ilvl w:val="0"/>
          <w:numId w:val="55"/>
        </w:numPr>
        <w:spacing w:line="360" w:lineRule="auto"/>
        <w:rPr>
          <w:szCs w:val="21"/>
        </w:rPr>
      </w:pPr>
      <w:r>
        <w:rPr>
          <w:rFonts w:hint="eastAsia"/>
          <w:szCs w:val="21"/>
        </w:rPr>
        <w:t>投标担保，是指由专业担保机构为投标人履行支付投标保证金的义务向采购人或采购代理机构提供的保证担保。投标人在投标有效期内发生的撤回投标文件，或中标后因自身原因不签署政府采购合同等行为而应实际支付保证金的，由专业担保机构按照担保函的约定履行担保责任。投标人可以自愿选择是否采取投标担保函的形式交纳投标保证金。</w:t>
      </w:r>
    </w:p>
    <w:p>
      <w:pPr>
        <w:numPr>
          <w:ilvl w:val="0"/>
          <w:numId w:val="55"/>
        </w:numPr>
        <w:spacing w:line="360" w:lineRule="auto"/>
        <w:rPr>
          <w:szCs w:val="21"/>
        </w:rPr>
      </w:pPr>
      <w:r>
        <w:rPr>
          <w:rFonts w:hint="eastAsia"/>
          <w:szCs w:val="21"/>
        </w:rPr>
        <w:t>履约担保，是指由专业担保机构为投标人支付履约保证金的义务向采购人提供的保证担保。中标人未按政府采购合同履行约定义务而应实际支付保证金的，由专业担保机构按照担保函约定履行担保责任。投标人可以自行选择是否采取履约担保函的形式交纳履约保证金。</w:t>
      </w:r>
    </w:p>
    <w:p>
      <w:pPr>
        <w:numPr>
          <w:ilvl w:val="0"/>
          <w:numId w:val="55"/>
        </w:numPr>
        <w:spacing w:line="360" w:lineRule="auto"/>
        <w:rPr>
          <w:snapToGrid w:val="0"/>
          <w:szCs w:val="21"/>
        </w:rPr>
      </w:pPr>
      <w:r>
        <w:rPr>
          <w:rFonts w:hint="eastAsia"/>
          <w:szCs w:val="21"/>
        </w:rPr>
        <w:t>融资担保，是指由专业担保机构为投标人向银行融资提供的保证担保。投标人可以自愿选择是</w:t>
      </w:r>
      <w:r>
        <w:rPr>
          <w:rFonts w:hint="eastAsia"/>
          <w:snapToGrid w:val="0"/>
          <w:szCs w:val="21"/>
        </w:rPr>
        <w:t>否采取融资担保的形式为政府采购履约进行融资。</w:t>
      </w:r>
    </w:p>
    <w:p>
      <w:pPr>
        <w:numPr>
          <w:ilvl w:val="0"/>
          <w:numId w:val="55"/>
        </w:numPr>
        <w:spacing w:line="360" w:lineRule="auto"/>
        <w:rPr>
          <w:szCs w:val="21"/>
        </w:rPr>
      </w:pPr>
      <w:r>
        <w:rPr>
          <w:rFonts w:hint="eastAsia"/>
          <w:szCs w:val="21"/>
        </w:rPr>
        <w:t>试点地区专业担保机构的名单、联系人、联系方式 ：</w:t>
      </w:r>
    </w:p>
    <w:p>
      <w:pPr>
        <w:adjustRightInd w:val="0"/>
        <w:snapToGrid w:val="0"/>
        <w:spacing w:line="360" w:lineRule="auto"/>
        <w:ind w:left="720"/>
        <w:rPr>
          <w:snapToGrid w:val="0"/>
          <w:szCs w:val="21"/>
        </w:rPr>
      </w:pPr>
      <w:r>
        <w:rPr>
          <w:rFonts w:hint="eastAsia"/>
          <w:snapToGrid w:val="0"/>
          <w:szCs w:val="21"/>
        </w:rPr>
        <w:t>省直地区：</w:t>
      </w:r>
      <w:bookmarkStart w:id="35" w:name="OLE_LINK3"/>
      <w:r>
        <w:rPr>
          <w:rFonts w:hint="eastAsia"/>
          <w:snapToGrid w:val="0"/>
          <w:szCs w:val="21"/>
        </w:rPr>
        <w:t>中国投资担保有限公司</w:t>
      </w:r>
      <w:bookmarkEnd w:id="35"/>
      <w:r>
        <w:rPr>
          <w:rFonts w:hint="eastAsia"/>
          <w:snapToGrid w:val="0"/>
          <w:szCs w:val="21"/>
        </w:rPr>
        <w:t xml:space="preserve"> 刘先生 010-88822559 ；</w:t>
      </w:r>
    </w:p>
    <w:p>
      <w:pPr>
        <w:adjustRightInd w:val="0"/>
        <w:snapToGrid w:val="0"/>
        <w:spacing w:line="360" w:lineRule="auto"/>
        <w:ind w:left="720"/>
        <w:rPr>
          <w:snapToGrid w:val="0"/>
          <w:szCs w:val="21"/>
        </w:rPr>
      </w:pPr>
      <w:r>
        <w:rPr>
          <w:rFonts w:hint="eastAsia"/>
          <w:snapToGrid w:val="0"/>
          <w:szCs w:val="21"/>
        </w:rPr>
        <w:t>广州地区：广东省融资再担保有限公司 梁先生 020-83033627；</w:t>
      </w:r>
    </w:p>
    <w:p>
      <w:pPr>
        <w:adjustRightInd w:val="0"/>
        <w:snapToGrid w:val="0"/>
        <w:spacing w:line="360" w:lineRule="auto"/>
        <w:ind w:left="720"/>
        <w:rPr>
          <w:snapToGrid w:val="0"/>
          <w:szCs w:val="21"/>
        </w:rPr>
      </w:pPr>
      <w:r>
        <w:rPr>
          <w:rFonts w:hint="eastAsia"/>
          <w:snapToGrid w:val="0"/>
          <w:szCs w:val="21"/>
        </w:rPr>
        <w:t>东莞地区：东莞市金鼎融资担保公司 卢先生 0769-23326888。</w:t>
      </w:r>
    </w:p>
    <w:p>
      <w:pPr>
        <w:numPr>
          <w:ilvl w:val="0"/>
          <w:numId w:val="55"/>
        </w:numPr>
        <w:spacing w:line="360" w:lineRule="auto"/>
        <w:rPr>
          <w:szCs w:val="21"/>
        </w:rPr>
      </w:pPr>
      <w:r>
        <w:rPr>
          <w:rFonts w:hint="eastAsia"/>
          <w:szCs w:val="21"/>
        </w:rPr>
        <w:t>投标人可以以投标担保函的形式交纳投标保证金，并以《政府采购投标担保函》作为投标文件的附件。</w:t>
      </w:r>
    </w:p>
    <w:p>
      <w:pPr>
        <w:numPr>
          <w:ilvl w:val="0"/>
          <w:numId w:val="55"/>
        </w:numPr>
        <w:spacing w:line="360" w:lineRule="auto"/>
        <w:rPr>
          <w:szCs w:val="21"/>
        </w:rPr>
      </w:pPr>
      <w:r>
        <w:rPr>
          <w:rFonts w:hint="eastAsia"/>
          <w:szCs w:val="21"/>
        </w:rPr>
        <w:t>投标人可以以履约担保函的形式交纳履约保证金。</w:t>
      </w:r>
    </w:p>
    <w:p>
      <w:pPr>
        <w:numPr>
          <w:ilvl w:val="3"/>
          <w:numId w:val="2"/>
        </w:numPr>
        <w:tabs>
          <w:tab w:val="center" w:pos="210"/>
          <w:tab w:val="center" w:pos="420"/>
          <w:tab w:val="center" w:pos="630"/>
        </w:tabs>
        <w:spacing w:line="360" w:lineRule="auto"/>
        <w:outlineLvl w:val="2"/>
        <w:rPr>
          <w:b/>
        </w:rPr>
      </w:pPr>
      <w:r>
        <w:rPr>
          <w:rFonts w:hint="eastAsia"/>
          <w:b/>
        </w:rPr>
        <w:t>小型和微型企业价格扣除规定（监狱企业和</w:t>
      </w:r>
      <w:r>
        <w:rPr>
          <w:rFonts w:hint="eastAsia" w:cs="Arial"/>
          <w:b/>
          <w:szCs w:val="21"/>
        </w:rPr>
        <w:t>残疾人福利性单位</w:t>
      </w:r>
      <w:r>
        <w:rPr>
          <w:rFonts w:hint="eastAsia"/>
          <w:b/>
        </w:rPr>
        <w:t>视同小型、微型企业）</w:t>
      </w:r>
    </w:p>
    <w:p>
      <w:pPr>
        <w:numPr>
          <w:ilvl w:val="0"/>
          <w:numId w:val="56"/>
        </w:numPr>
        <w:spacing w:line="360" w:lineRule="auto"/>
        <w:rPr>
          <w:szCs w:val="21"/>
        </w:rPr>
      </w:pPr>
      <w:r>
        <w:rPr>
          <w:rFonts w:hint="eastAsia"/>
          <w:szCs w:val="21"/>
        </w:rPr>
        <w:t>根据财政部、工业和信息化部印发的《政府采购促进中小企业发展暂行办法》（财库[2011]181号）的规定，对小型和微型企业产品的价格给予6%的扣除，用扣除后的价格参与评审；投标产品中仅有部分小型和微型企业产品的，则按所投小型和微型企业产品的价格部分予以扣除。</w:t>
      </w:r>
    </w:p>
    <w:p>
      <w:pPr>
        <w:numPr>
          <w:ilvl w:val="0"/>
          <w:numId w:val="56"/>
        </w:numPr>
        <w:spacing w:line="360" w:lineRule="auto"/>
        <w:rPr>
          <w:szCs w:val="21"/>
        </w:rPr>
      </w:pPr>
      <w:r>
        <w:rPr>
          <w:rFonts w:hint="eastAsia"/>
          <w:szCs w:val="21"/>
        </w:rPr>
        <w:t>如《投标须知前附表》中允许联合体投标的，根据联合协议中约定，小型、微型企业的协议合同金额占到联合体协议合同总金额30%以上的，给予2%的价格扣除。</w:t>
      </w:r>
    </w:p>
    <w:p>
      <w:pPr>
        <w:numPr>
          <w:ilvl w:val="0"/>
          <w:numId w:val="56"/>
        </w:numPr>
        <w:spacing w:line="360" w:lineRule="auto"/>
        <w:rPr>
          <w:szCs w:val="21"/>
        </w:rPr>
      </w:pPr>
      <w:r>
        <w:rPr>
          <w:rFonts w:hint="eastAsia"/>
          <w:szCs w:val="21"/>
        </w:rPr>
        <w:t>《政府采购促进中小企业发展暂行办法》所称中小企业（含中型、小型、微型企业，下同）应当同时符合以下条件：</w:t>
      </w:r>
    </w:p>
    <w:p>
      <w:pPr>
        <w:numPr>
          <w:ilvl w:val="0"/>
          <w:numId w:val="57"/>
        </w:numPr>
        <w:tabs>
          <w:tab w:val="left" w:pos="0"/>
          <w:tab w:val="left" w:pos="420"/>
        </w:tabs>
        <w:spacing w:line="360" w:lineRule="auto"/>
        <w:ind w:left="0" w:firstLine="440" w:firstLineChars="200"/>
        <w:rPr>
          <w:szCs w:val="21"/>
        </w:rPr>
      </w:pPr>
      <w:r>
        <w:rPr>
          <w:rFonts w:hint="eastAsia"/>
          <w:szCs w:val="21"/>
        </w:rPr>
        <w:t>符合《工业和信息化部、国家统计局、国家发展和改革委员会、财政部关于印发中小企业划型标准规定的通知》（工信部联企业[2011]300号）规定的划分标准；</w:t>
      </w:r>
    </w:p>
    <w:p>
      <w:pPr>
        <w:numPr>
          <w:ilvl w:val="0"/>
          <w:numId w:val="57"/>
        </w:numPr>
        <w:tabs>
          <w:tab w:val="left" w:pos="0"/>
          <w:tab w:val="left" w:pos="420"/>
        </w:tabs>
        <w:spacing w:line="360" w:lineRule="auto"/>
        <w:ind w:left="0" w:firstLine="440" w:firstLineChars="200"/>
        <w:rPr>
          <w:szCs w:val="21"/>
        </w:rPr>
      </w:pPr>
      <w:r>
        <w:rPr>
          <w:rFonts w:hint="eastAsia"/>
          <w:szCs w:val="21"/>
        </w:rPr>
        <w:t>提供本企业制造的货物、承担的工程或者服务，或者提供其他中小企业制造的货物。本项所称货物不包括使用大型企业注册商标的货物。小型、微型企业提供中型企业制造的货物的，视同为中型企业。</w:t>
      </w:r>
    </w:p>
    <w:p>
      <w:pPr>
        <w:numPr>
          <w:ilvl w:val="0"/>
          <w:numId w:val="56"/>
        </w:numPr>
        <w:spacing w:line="360" w:lineRule="auto"/>
        <w:rPr>
          <w:szCs w:val="21"/>
        </w:rPr>
      </w:pPr>
      <w:r>
        <w:rPr>
          <w:rFonts w:hint="eastAsia"/>
          <w:szCs w:val="21"/>
        </w:rPr>
        <w:t>参加本项目投标的小型和微型企业应当提供《中小企业声明函》。</w:t>
      </w:r>
    </w:p>
    <w:p>
      <w:pPr>
        <w:numPr>
          <w:ilvl w:val="0"/>
          <w:numId w:val="56"/>
        </w:numPr>
        <w:spacing w:line="360" w:lineRule="auto"/>
        <w:rPr>
          <w:szCs w:val="21"/>
        </w:rPr>
      </w:pPr>
      <w:r>
        <w:rPr>
          <w:rFonts w:hint="eastAsia"/>
          <w:szCs w:val="21"/>
        </w:rPr>
        <w:t>监狱企业参加政府采购活动时，应当提供由省级以上监狱管理局、戒毒管理局(含新疆生产建设兵团)出具的属于监狱企业的证明文件，不再提供《中小微企业声明函》。</w:t>
      </w:r>
    </w:p>
    <w:p>
      <w:pPr>
        <w:numPr>
          <w:ilvl w:val="0"/>
          <w:numId w:val="56"/>
        </w:numPr>
        <w:spacing w:line="360" w:lineRule="auto"/>
        <w:rPr>
          <w:rFonts w:cs="Arial"/>
          <w:szCs w:val="21"/>
        </w:rPr>
      </w:pPr>
      <w:r>
        <w:rPr>
          <w:rFonts w:hint="eastAsia" w:cs="Arial"/>
          <w:szCs w:val="21"/>
        </w:rPr>
        <w:t>根据《关于促进残疾人就业政府采购政策的通知</w:t>
      </w:r>
      <w:r>
        <w:rPr>
          <w:rFonts w:cs="Arial"/>
          <w:szCs w:val="21"/>
        </w:rPr>
        <w:t>(</w:t>
      </w:r>
      <w:r>
        <w:rPr>
          <w:rFonts w:hint="eastAsia" w:cs="Arial"/>
          <w:szCs w:val="21"/>
        </w:rPr>
        <w:t>财库〔</w:t>
      </w:r>
      <w:r>
        <w:rPr>
          <w:rFonts w:cs="Arial"/>
          <w:szCs w:val="21"/>
        </w:rPr>
        <w:t>2018</w:t>
      </w:r>
      <w:r>
        <w:rPr>
          <w:rFonts w:hint="eastAsia" w:cs="Arial"/>
          <w:szCs w:val="21"/>
        </w:rPr>
        <w:t>〕</w:t>
      </w:r>
      <w:r>
        <w:rPr>
          <w:rFonts w:cs="Arial"/>
          <w:szCs w:val="21"/>
        </w:rPr>
        <w:t>141</w:t>
      </w:r>
      <w:r>
        <w:rPr>
          <w:rFonts w:hint="eastAsia" w:cs="Arial"/>
          <w:szCs w:val="21"/>
        </w:rPr>
        <w:t>号</w:t>
      </w:r>
      <w:r>
        <w:rPr>
          <w:rFonts w:cs="Arial"/>
          <w:szCs w:val="21"/>
        </w:rPr>
        <w:t>)</w:t>
      </w:r>
      <w:r>
        <w:rPr>
          <w:rFonts w:hint="eastAsia" w:cs="Arial"/>
          <w:szCs w:val="21"/>
        </w:rPr>
        <w:t>》，残疾人福利性单位参加政府采购活动时，应当提供《残疾人福利性单位声明函》，并对声明的真实性负责。残疾人福利性单位属于小型、微型企业的，不重复享受政策。</w:t>
      </w:r>
    </w:p>
    <w:p>
      <w:pPr>
        <w:pStyle w:val="4"/>
        <w:numPr>
          <w:ilvl w:val="0"/>
          <w:numId w:val="1"/>
        </w:numPr>
        <w:spacing w:before="240"/>
        <w:ind w:firstLine="482"/>
      </w:pPr>
      <w:bookmarkStart w:id="36" w:name="_Toc22145"/>
      <w:r>
        <w:rPr>
          <w:rFonts w:hint="eastAsia"/>
        </w:rPr>
        <w:t>关于节能产品和环境标志产品</w:t>
      </w:r>
      <w:bookmarkEnd w:id="36"/>
    </w:p>
    <w:p>
      <w:pPr>
        <w:numPr>
          <w:ilvl w:val="3"/>
          <w:numId w:val="2"/>
        </w:numPr>
        <w:tabs>
          <w:tab w:val="center" w:pos="210"/>
          <w:tab w:val="center" w:pos="420"/>
          <w:tab w:val="center" w:pos="630"/>
        </w:tabs>
        <w:spacing w:line="360" w:lineRule="auto"/>
        <w:outlineLvl w:val="2"/>
        <w:rPr>
          <w:szCs w:val="21"/>
        </w:rPr>
      </w:pPr>
      <w:r>
        <w:rPr>
          <w:rFonts w:hint="eastAsia"/>
          <w:szCs w:val="21"/>
        </w:rPr>
        <w:t>如投标产品属于“节能产品政府采购清单</w:t>
      </w:r>
      <w:r>
        <w:rPr>
          <w:szCs w:val="21"/>
        </w:rPr>
        <w:t>”</w:t>
      </w:r>
      <w:r>
        <w:rPr>
          <w:rFonts w:hint="eastAsia"/>
          <w:szCs w:val="21"/>
        </w:rPr>
        <w:t>中品目的产品，须提供最新一期</w:t>
      </w:r>
      <w:r>
        <w:rPr>
          <w:szCs w:val="21"/>
        </w:rPr>
        <w:t>“</w:t>
      </w:r>
      <w:r>
        <w:rPr>
          <w:rFonts w:hint="eastAsia"/>
          <w:szCs w:val="21"/>
        </w:rPr>
        <w:t>节能产品政府采购清单”中投标产品所在清单页并加盖投标人单位公章，但在最新一期节能清单中无对应细化分类且节能清单中的产品无法满足工作需要时，可在节能清单之外采购。如本招标文件公告后国家有关部门再发布新一期的节能清单，则同时执行两期的节能清单。节能清单在中国政府采购网（http：//www.ccgp.gov .cn/）、国家发展改革委网站（</w:t>
      </w:r>
      <w:r>
        <w:fldChar w:fldCharType="begin"/>
      </w:r>
      <w:r>
        <w:instrText xml:space="preserve"> HYPERLINK "http://hzs.nd" </w:instrText>
      </w:r>
      <w:r>
        <w:fldChar w:fldCharType="separate"/>
      </w:r>
      <w:r>
        <w:rPr>
          <w:rFonts w:hint="eastAsia"/>
          <w:szCs w:val="21"/>
        </w:rPr>
        <w:t>http://hzs.nd</w:t>
      </w:r>
      <w:r>
        <w:rPr>
          <w:rFonts w:hint="eastAsia"/>
          <w:szCs w:val="21"/>
        </w:rPr>
        <w:fldChar w:fldCharType="end"/>
      </w:r>
      <w:r>
        <w:rPr>
          <w:rFonts w:hint="eastAsia"/>
          <w:szCs w:val="21"/>
        </w:rPr>
        <w:t xml:space="preserve"> rc.gv.cn/）和中国质量认证中心网站（http://www.cqc.com.cn/）上发布。</w:t>
      </w:r>
    </w:p>
    <w:p>
      <w:pPr>
        <w:numPr>
          <w:ilvl w:val="3"/>
          <w:numId w:val="2"/>
        </w:numPr>
        <w:tabs>
          <w:tab w:val="center" w:pos="210"/>
          <w:tab w:val="center" w:pos="420"/>
          <w:tab w:val="center" w:pos="630"/>
        </w:tabs>
        <w:spacing w:line="360" w:lineRule="auto"/>
        <w:outlineLvl w:val="2"/>
        <w:rPr>
          <w:szCs w:val="21"/>
        </w:rPr>
      </w:pPr>
      <w:r>
        <w:rPr>
          <w:rFonts w:hint="eastAsia"/>
          <w:szCs w:val="21"/>
        </w:rPr>
        <w:t>如投标产品属于“环境标志产品政府采购清单”中品目的产品，须提供最新一期“环境标志产品政府采购清单”中投标产品所在清单页并加盖投标人单位公章，如本招标文件公告后国家有关部门再发布新一期的环保清单，则同时执行两期的环保清单。清单在中国政府采购网（http://www.ccgp.gov.cn/）、国家环境保护总局网（http://www.sepa.gov.cn/）、中国绿色采购网（http://www.cgpn. cn/）上发布。</w:t>
      </w:r>
    </w:p>
    <w:p>
      <w:pPr>
        <w:numPr>
          <w:ilvl w:val="3"/>
          <w:numId w:val="2"/>
        </w:numPr>
        <w:tabs>
          <w:tab w:val="center" w:pos="210"/>
          <w:tab w:val="center" w:pos="420"/>
          <w:tab w:val="center" w:pos="630"/>
        </w:tabs>
        <w:spacing w:line="360" w:lineRule="auto"/>
        <w:outlineLvl w:val="2"/>
        <w:rPr>
          <w:szCs w:val="21"/>
        </w:rPr>
      </w:pPr>
      <w:r>
        <w:rPr>
          <w:rFonts w:hint="eastAsia"/>
          <w:szCs w:val="21"/>
        </w:rPr>
        <w:t>对节能产品和环境标志产品价格扣除的规定：</w:t>
      </w:r>
    </w:p>
    <w:p>
      <w:pPr>
        <w:numPr>
          <w:ilvl w:val="0"/>
          <w:numId w:val="58"/>
        </w:numPr>
        <w:tabs>
          <w:tab w:val="center" w:pos="210"/>
          <w:tab w:val="center" w:pos="630"/>
        </w:tabs>
        <w:spacing w:line="360" w:lineRule="auto"/>
        <w:ind w:left="420"/>
        <w:outlineLvl w:val="2"/>
        <w:rPr>
          <w:szCs w:val="21"/>
        </w:rPr>
      </w:pPr>
      <w:r>
        <w:rPr>
          <w:rFonts w:hint="eastAsia"/>
          <w:szCs w:val="21"/>
        </w:rPr>
        <w:t>必须</w:t>
      </w:r>
      <w:r>
        <w:rPr>
          <w:rFonts w:hint="eastAsia"/>
          <w:bCs/>
        </w:rPr>
        <w:t>按照第五章投标文件格式中的“政策适用性说明（适用于强制采购及优先采购节能产口或环境标志产品）”格式要求填写和提供全部资料；</w:t>
      </w:r>
    </w:p>
    <w:p>
      <w:pPr>
        <w:numPr>
          <w:ilvl w:val="0"/>
          <w:numId w:val="58"/>
        </w:numPr>
        <w:tabs>
          <w:tab w:val="center" w:pos="210"/>
          <w:tab w:val="center" w:pos="630"/>
        </w:tabs>
        <w:spacing w:line="360" w:lineRule="auto"/>
        <w:ind w:left="420"/>
        <w:outlineLvl w:val="2"/>
        <w:rPr>
          <w:szCs w:val="21"/>
        </w:rPr>
      </w:pPr>
      <w:r>
        <w:rPr>
          <w:rFonts w:hint="eastAsia"/>
        </w:rPr>
        <w:t>扣除方法如下：节能或环境标志产品金额占项目总金额的比重达到10％－25％的（含10%，不含25%，下同），扣1％；达到25－50％的，扣2％；达到50％－75％的，扣3％；达到75％以上的扣4％（适用于优先采购节能产品或环境标志产品）。</w:t>
      </w:r>
    </w:p>
    <w:p>
      <w:pPr>
        <w:pStyle w:val="4"/>
        <w:numPr>
          <w:ilvl w:val="0"/>
          <w:numId w:val="1"/>
        </w:numPr>
        <w:spacing w:before="240"/>
        <w:ind w:firstLine="482"/>
      </w:pPr>
      <w:bookmarkStart w:id="37" w:name="_Toc29228"/>
      <w:r>
        <w:rPr>
          <w:rFonts w:hint="eastAsia"/>
        </w:rPr>
        <w:t>关于信用信息查询渠道的使用</w:t>
      </w:r>
      <w:bookmarkEnd w:id="37"/>
    </w:p>
    <w:p>
      <w:pPr>
        <w:numPr>
          <w:ilvl w:val="3"/>
          <w:numId w:val="2"/>
        </w:numPr>
        <w:tabs>
          <w:tab w:val="center" w:pos="210"/>
          <w:tab w:val="center" w:pos="420"/>
        </w:tabs>
        <w:spacing w:line="360" w:lineRule="auto"/>
        <w:ind w:hanging="624"/>
        <w:outlineLvl w:val="2"/>
      </w:pPr>
      <w:r>
        <w:t>信用记录查询渠道</w:t>
      </w:r>
      <w:r>
        <w:rPr>
          <w:rFonts w:hint="eastAsia"/>
        </w:rPr>
        <w:t>及截止时点</w:t>
      </w:r>
    </w:p>
    <w:p>
      <w:pPr>
        <w:numPr>
          <w:ilvl w:val="0"/>
          <w:numId w:val="59"/>
        </w:numPr>
        <w:tabs>
          <w:tab w:val="center" w:pos="210"/>
        </w:tabs>
        <w:spacing w:line="360" w:lineRule="auto"/>
        <w:ind w:left="420"/>
        <w:outlineLvl w:val="2"/>
        <w:rPr>
          <w:bCs/>
        </w:rPr>
      </w:pPr>
      <w:r>
        <w:t>信用记录查询渠道</w:t>
      </w:r>
      <w:r>
        <w:rPr>
          <w:rFonts w:hint="eastAsia"/>
        </w:rPr>
        <w:t>：</w:t>
      </w:r>
      <w:r>
        <w:rPr>
          <w:rFonts w:hint="eastAsia"/>
          <w:szCs w:val="21"/>
        </w:rPr>
        <w:t>“</w:t>
      </w:r>
      <w:r>
        <w:rPr>
          <w:szCs w:val="21"/>
        </w:rPr>
        <w:t>信用中国</w:t>
      </w:r>
      <w:r>
        <w:rPr>
          <w:rFonts w:hint="eastAsia"/>
          <w:szCs w:val="21"/>
        </w:rPr>
        <w:t>”</w:t>
      </w:r>
      <w:r>
        <w:rPr>
          <w:szCs w:val="21"/>
        </w:rPr>
        <w:t>网站(www.creditchina.gov.cn)、中国政府采购网(www.ccgp.gov.cn)等渠道查询相关主体信用记录</w:t>
      </w:r>
      <w:r>
        <w:rPr>
          <w:rFonts w:hint="eastAsia"/>
          <w:szCs w:val="21"/>
        </w:rPr>
        <w:t>。</w:t>
      </w:r>
    </w:p>
    <w:p>
      <w:pPr>
        <w:numPr>
          <w:ilvl w:val="0"/>
          <w:numId w:val="59"/>
        </w:numPr>
        <w:tabs>
          <w:tab w:val="center" w:pos="210"/>
        </w:tabs>
        <w:spacing w:line="360" w:lineRule="auto"/>
        <w:ind w:left="420"/>
        <w:outlineLvl w:val="2"/>
        <w:rPr>
          <w:bCs/>
        </w:rPr>
      </w:pPr>
      <w:r>
        <w:t>信用记录查询</w:t>
      </w:r>
      <w:r>
        <w:rPr>
          <w:rFonts w:hint="eastAsia"/>
        </w:rPr>
        <w:t>截止时点：投标截止时间前</w:t>
      </w:r>
    </w:p>
    <w:p>
      <w:pPr>
        <w:numPr>
          <w:ilvl w:val="3"/>
          <w:numId w:val="2"/>
        </w:numPr>
        <w:tabs>
          <w:tab w:val="center" w:pos="210"/>
          <w:tab w:val="center" w:pos="420"/>
        </w:tabs>
        <w:spacing w:line="360" w:lineRule="auto"/>
        <w:ind w:hanging="624"/>
        <w:outlineLvl w:val="2"/>
        <w:rPr>
          <w:bCs/>
        </w:rPr>
      </w:pPr>
      <w:r>
        <w:rPr>
          <w:rFonts w:hint="eastAsia"/>
        </w:rPr>
        <w:t>信用信息查询记录和证据留存的具体方式 、信用信息的使用规则：</w:t>
      </w:r>
    </w:p>
    <w:p>
      <w:pPr>
        <w:numPr>
          <w:ilvl w:val="0"/>
          <w:numId w:val="60"/>
        </w:numPr>
        <w:tabs>
          <w:tab w:val="center" w:pos="210"/>
        </w:tabs>
        <w:spacing w:line="360" w:lineRule="auto"/>
        <w:ind w:left="420"/>
        <w:outlineLvl w:val="2"/>
        <w:rPr>
          <w:bCs/>
        </w:rPr>
      </w:pPr>
      <w:r>
        <w:rPr>
          <w:rFonts w:hint="eastAsia"/>
        </w:rPr>
        <w:t>信用信息查询记录和证据留存的具体方式：</w:t>
      </w:r>
      <w:r>
        <w:rPr>
          <w:szCs w:val="21"/>
        </w:rPr>
        <w:t>通过“信用中国”网站(www.creditchina.gov.cn)、中国政府采购网(www.ccgp.gov.cn)等渠道查询相关主体信用记录和证据</w:t>
      </w:r>
      <w:r>
        <w:rPr>
          <w:rFonts w:hint="eastAsia"/>
          <w:szCs w:val="21"/>
        </w:rPr>
        <w:t>，并打印网站相关页面</w:t>
      </w:r>
      <w:r>
        <w:rPr>
          <w:rFonts w:hint="eastAsia"/>
        </w:rPr>
        <w:t>留存</w:t>
      </w:r>
      <w:r>
        <w:rPr>
          <w:rFonts w:hint="eastAsia"/>
          <w:szCs w:val="21"/>
        </w:rPr>
        <w:t>。</w:t>
      </w:r>
    </w:p>
    <w:p>
      <w:pPr>
        <w:numPr>
          <w:ilvl w:val="0"/>
          <w:numId w:val="60"/>
        </w:numPr>
        <w:tabs>
          <w:tab w:val="center" w:pos="210"/>
        </w:tabs>
        <w:spacing w:line="360" w:lineRule="auto"/>
        <w:ind w:left="420"/>
        <w:outlineLvl w:val="2"/>
        <w:rPr>
          <w:bCs/>
        </w:rPr>
      </w:pPr>
      <w:r>
        <w:rPr>
          <w:rFonts w:hint="eastAsia"/>
        </w:rPr>
        <w:t>信用信息的使用规则：</w:t>
      </w:r>
      <w:r>
        <w:rPr>
          <w:szCs w:val="21"/>
        </w:rPr>
        <w:t>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numPr>
          <w:ilvl w:val="0"/>
          <w:numId w:val="1"/>
        </w:numPr>
        <w:spacing w:before="240"/>
        <w:ind w:firstLine="482"/>
      </w:pPr>
      <w:bookmarkStart w:id="38" w:name="_Toc24694"/>
      <w:r>
        <w:rPr>
          <w:rFonts w:hint="eastAsia"/>
        </w:rPr>
        <w:t>适用法律</w:t>
      </w:r>
      <w:bookmarkEnd w:id="38"/>
    </w:p>
    <w:p>
      <w:pPr>
        <w:numPr>
          <w:ilvl w:val="3"/>
          <w:numId w:val="2"/>
        </w:numPr>
        <w:tabs>
          <w:tab w:val="center" w:pos="210"/>
          <w:tab w:val="center" w:pos="420"/>
          <w:tab w:val="center" w:pos="630"/>
        </w:tabs>
        <w:spacing w:line="360" w:lineRule="auto"/>
        <w:outlineLvl w:val="2"/>
        <w:rPr>
          <w:szCs w:val="21"/>
        </w:rPr>
      </w:pPr>
      <w:r>
        <w:rPr>
          <w:rFonts w:hint="eastAsia"/>
          <w:szCs w:val="21"/>
        </w:rPr>
        <w:t>采购人、采购代理机构及投标人的一切招标投标活动均适用《中华人民共和国政府采购法》及《中华人民共和国政府采购法实施条例》及其配套的法规、规章、政策。</w:t>
      </w:r>
    </w:p>
    <w:p>
      <w:pPr>
        <w:spacing w:line="364" w:lineRule="auto"/>
        <w:jc w:val="both"/>
        <w:rPr>
          <w:sz w:val="24"/>
        </w:rPr>
        <w:sectPr>
          <w:footerReference r:id="rId6" w:type="default"/>
          <w:pgSz w:w="11910" w:h="16840"/>
          <w:pgMar w:top="1378" w:right="1378" w:bottom="1378" w:left="1378" w:header="924" w:footer="902" w:gutter="0"/>
          <w:cols w:space="720" w:num="1"/>
        </w:sectPr>
      </w:pPr>
    </w:p>
    <w:p>
      <w:pPr>
        <w:pStyle w:val="3"/>
        <w:ind w:left="0"/>
      </w:pPr>
      <w:bookmarkStart w:id="39" w:name="第三章_用户需求书"/>
      <w:bookmarkEnd w:id="39"/>
      <w:bookmarkStart w:id="40" w:name="_Toc910"/>
      <w:r>
        <w:t>第三章 用户需求书</w:t>
      </w:r>
      <w:bookmarkEnd w:id="40"/>
    </w:p>
    <w:p/>
    <w:p>
      <w:pPr>
        <w:spacing w:before="74"/>
        <w:ind w:firstLine="3534" w:firstLineChars="1100"/>
        <w:rPr>
          <w:rFonts w:ascii="黑体" w:eastAsia="黑体"/>
          <w:b/>
          <w:sz w:val="32"/>
        </w:rPr>
      </w:pPr>
      <w:bookmarkStart w:id="41" w:name="_Toc3009"/>
      <w:r>
        <w:rPr>
          <w:rFonts w:hint="eastAsia" w:ascii="黑体" w:eastAsia="黑体"/>
          <w:b/>
          <w:sz w:val="32"/>
        </w:rPr>
        <w:t>用户需求书★</w:t>
      </w:r>
    </w:p>
    <w:p/>
    <w:p>
      <w:pPr>
        <w:pStyle w:val="4"/>
        <w:ind w:firstLine="482"/>
        <w:jc w:val="both"/>
      </w:pPr>
      <w:r>
        <w:t>一、 项目概况</w:t>
      </w:r>
      <w:bookmarkEnd w:id="41"/>
    </w:p>
    <w:p>
      <w:pPr>
        <w:pStyle w:val="12"/>
        <w:spacing w:before="2"/>
        <w:rPr>
          <w:rFonts w:ascii="黑体"/>
          <w:b/>
          <w:sz w:val="12"/>
        </w:rPr>
      </w:pPr>
    </w:p>
    <w:tbl>
      <w:tblPr>
        <w:tblStyle w:val="19"/>
        <w:tblW w:w="0" w:type="auto"/>
        <w:tblInd w:w="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6"/>
        <w:gridCol w:w="1838"/>
        <w:gridCol w:w="2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76" w:type="dxa"/>
            <w:shd w:val="clear" w:color="auto" w:fill="D6D6D6"/>
          </w:tcPr>
          <w:p>
            <w:pPr>
              <w:pStyle w:val="23"/>
              <w:spacing w:before="119"/>
              <w:ind w:left="852"/>
              <w:rPr>
                <w:b/>
                <w:sz w:val="24"/>
              </w:rPr>
            </w:pPr>
            <w:r>
              <w:rPr>
                <w:b/>
                <w:sz w:val="24"/>
              </w:rPr>
              <w:t>采购内容</w:t>
            </w:r>
          </w:p>
        </w:tc>
        <w:tc>
          <w:tcPr>
            <w:tcW w:w="1838" w:type="dxa"/>
            <w:shd w:val="clear" w:color="auto" w:fill="D6D6D6"/>
          </w:tcPr>
          <w:p>
            <w:pPr>
              <w:pStyle w:val="23"/>
              <w:spacing w:before="119"/>
              <w:ind w:left="59" w:right="47"/>
              <w:jc w:val="center"/>
              <w:rPr>
                <w:b/>
                <w:sz w:val="24"/>
              </w:rPr>
            </w:pPr>
            <w:r>
              <w:rPr>
                <w:b/>
                <w:sz w:val="24"/>
              </w:rPr>
              <w:t>最高限价</w:t>
            </w:r>
          </w:p>
        </w:tc>
        <w:tc>
          <w:tcPr>
            <w:tcW w:w="2592" w:type="dxa"/>
            <w:shd w:val="clear" w:color="auto" w:fill="D6D6D6"/>
          </w:tcPr>
          <w:p>
            <w:pPr>
              <w:pStyle w:val="23"/>
              <w:spacing w:before="119"/>
              <w:ind w:left="916" w:right="903"/>
              <w:jc w:val="center"/>
              <w:rPr>
                <w:b/>
                <w:sz w:val="24"/>
              </w:rPr>
            </w:pPr>
            <w:r>
              <w:rPr>
                <w:b/>
                <w:sz w:val="24"/>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3276" w:type="dxa"/>
          </w:tcPr>
          <w:p>
            <w:pPr>
              <w:pStyle w:val="23"/>
              <w:spacing w:before="60" w:line="440" w:lineRule="atLeast"/>
              <w:ind w:left="252" w:right="122" w:hanging="120"/>
              <w:rPr>
                <w:sz w:val="24"/>
              </w:rPr>
            </w:pPr>
            <w:r>
              <w:rPr>
                <w:rFonts w:hint="eastAsia"/>
                <w:sz w:val="24"/>
              </w:rPr>
              <w:t>广州市杂技艺术剧院有限责任公司小剧场舞台机械改造</w:t>
            </w:r>
          </w:p>
        </w:tc>
        <w:tc>
          <w:tcPr>
            <w:tcW w:w="1838" w:type="dxa"/>
          </w:tcPr>
          <w:p>
            <w:pPr>
              <w:pStyle w:val="23"/>
              <w:spacing w:before="1"/>
              <w:rPr>
                <w:rFonts w:ascii="黑体"/>
                <w:b/>
                <w:sz w:val="32"/>
              </w:rPr>
            </w:pPr>
          </w:p>
          <w:p>
            <w:pPr>
              <w:pStyle w:val="23"/>
              <w:ind w:left="59" w:right="49"/>
              <w:jc w:val="center"/>
              <w:rPr>
                <w:sz w:val="24"/>
              </w:rPr>
            </w:pPr>
            <w:r>
              <w:rPr>
                <w:sz w:val="24"/>
              </w:rPr>
              <w:t>人民币2</w:t>
            </w:r>
            <w:r>
              <w:rPr>
                <w:rFonts w:hint="eastAsia"/>
                <w:sz w:val="24"/>
                <w:lang w:val="en-US"/>
              </w:rPr>
              <w:t>0</w:t>
            </w:r>
            <w:r>
              <w:rPr>
                <w:sz w:val="24"/>
              </w:rPr>
              <w:t>0 万元</w:t>
            </w:r>
          </w:p>
        </w:tc>
        <w:tc>
          <w:tcPr>
            <w:tcW w:w="2592" w:type="dxa"/>
          </w:tcPr>
          <w:p>
            <w:pPr>
              <w:pStyle w:val="23"/>
              <w:spacing w:before="60" w:line="440" w:lineRule="atLeast"/>
              <w:ind w:left="216" w:right="143" w:hanging="60"/>
              <w:rPr>
                <w:sz w:val="24"/>
              </w:rPr>
            </w:pPr>
            <w:r>
              <w:rPr>
                <w:spacing w:val="-9"/>
                <w:sz w:val="24"/>
              </w:rPr>
              <w:t xml:space="preserve">自合同签订后 </w:t>
            </w:r>
            <w:r>
              <w:rPr>
                <w:sz w:val="24"/>
              </w:rPr>
              <w:t>5</w:t>
            </w:r>
            <w:r>
              <w:rPr>
                <w:sz w:val="24"/>
                <w:u w:val="single"/>
              </w:rPr>
              <w:t>0</w:t>
            </w:r>
            <w:r>
              <w:rPr>
                <w:spacing w:val="-26"/>
                <w:sz w:val="24"/>
              </w:rPr>
              <w:t xml:space="preserve"> 日内</w:t>
            </w:r>
            <w:r>
              <w:rPr>
                <w:sz w:val="24"/>
              </w:rPr>
              <w:t>完成所有货物的供货</w:t>
            </w:r>
          </w:p>
        </w:tc>
      </w:tr>
    </w:tbl>
    <w:p>
      <w:pPr>
        <w:pStyle w:val="12"/>
        <w:rPr>
          <w:sz w:val="34"/>
        </w:rPr>
      </w:pPr>
    </w:p>
    <w:p>
      <w:pPr>
        <w:pStyle w:val="4"/>
        <w:ind w:firstLine="482"/>
        <w:jc w:val="both"/>
      </w:pPr>
      <w:bookmarkStart w:id="42" w:name="_Toc28122"/>
      <w:r>
        <w:rPr>
          <w:rFonts w:hint="eastAsia"/>
          <w:lang w:val="en-US"/>
        </w:rPr>
        <w:t>二</w:t>
      </w:r>
      <w:r>
        <w:t>、 采购设备清单及技术参数要求</w:t>
      </w:r>
      <w:bookmarkEnd w:id="42"/>
    </w:p>
    <w:p>
      <w:pPr>
        <w:pStyle w:val="5"/>
      </w:pPr>
      <w:r>
        <w:rPr>
          <w:rFonts w:hint="eastAsia"/>
        </w:rPr>
        <w:t>2.</w:t>
      </w:r>
      <w:r>
        <w:t>1、舞台机械系统</w:t>
      </w:r>
    </w:p>
    <w:p>
      <w:pPr>
        <w:pStyle w:val="6"/>
      </w:pPr>
      <w:bookmarkStart w:id="43" w:name="1、设计条件"/>
      <w:bookmarkEnd w:id="43"/>
      <w:r>
        <w:rPr>
          <w:rFonts w:hint="eastAsia"/>
        </w:rPr>
        <w:t>1、设计条件</w:t>
      </w:r>
    </w:p>
    <w:p>
      <w:pPr>
        <w:tabs>
          <w:tab w:val="left" w:pos="1840"/>
        </w:tabs>
        <w:spacing w:before="160"/>
        <w:ind w:left="1360"/>
        <w:rPr>
          <w:sz w:val="24"/>
        </w:rPr>
      </w:pPr>
      <w:r>
        <w:rPr>
          <w:rFonts w:hint="eastAsia"/>
          <w:sz w:val="24"/>
          <w:lang w:val="en-US"/>
        </w:rPr>
        <w:t>1.1、</w:t>
      </w:r>
      <w:r>
        <w:rPr>
          <w:rFonts w:hint="eastAsia"/>
          <w:sz w:val="24"/>
        </w:rPr>
        <w:t>设备结构刚度</w:t>
      </w:r>
    </w:p>
    <w:p>
      <w:pPr>
        <w:spacing w:before="158" w:line="364" w:lineRule="auto"/>
        <w:ind w:left="880" w:right="1025" w:firstLine="480"/>
        <w:rPr>
          <w:sz w:val="24"/>
          <w:szCs w:val="24"/>
        </w:rPr>
      </w:pPr>
      <w:r>
        <w:rPr>
          <w:rFonts w:hint="eastAsia"/>
          <w:sz w:val="24"/>
          <w:szCs w:val="24"/>
        </w:rPr>
        <w:t>所有承（吊）重的设备结构应有足够的刚度，在额定荷载下结构的跨度不大于该结构支撑跨度的千分之一。</w:t>
      </w:r>
    </w:p>
    <w:p>
      <w:pPr>
        <w:tabs>
          <w:tab w:val="left" w:pos="1840"/>
        </w:tabs>
        <w:spacing w:line="306" w:lineRule="exact"/>
        <w:ind w:left="1360"/>
        <w:rPr>
          <w:sz w:val="24"/>
        </w:rPr>
      </w:pPr>
      <w:r>
        <w:rPr>
          <w:rFonts w:hint="eastAsia"/>
          <w:sz w:val="24"/>
          <w:lang w:val="en-US"/>
        </w:rPr>
        <w:t>1.2、</w:t>
      </w:r>
      <w:r>
        <w:rPr>
          <w:rFonts w:hint="eastAsia"/>
          <w:sz w:val="24"/>
        </w:rPr>
        <w:t>吊杆的定位及同步精度</w:t>
      </w:r>
    </w:p>
    <w:p>
      <w:pPr>
        <w:spacing w:before="161" w:line="362" w:lineRule="auto"/>
        <w:ind w:left="880" w:right="1025" w:firstLine="480"/>
        <w:rPr>
          <w:sz w:val="24"/>
          <w:szCs w:val="24"/>
        </w:rPr>
      </w:pPr>
      <w:r>
        <w:rPr>
          <w:rFonts w:hint="eastAsia"/>
          <w:sz w:val="24"/>
          <w:szCs w:val="24"/>
        </w:rPr>
        <w:t>所有吊杆在额定速度、额定荷载下的定位精度，及有同步运动要求的设备的同步精度如下：</w:t>
      </w:r>
    </w:p>
    <w:p>
      <w:pPr>
        <w:tabs>
          <w:tab w:val="left" w:pos="3519"/>
        </w:tabs>
        <w:spacing w:before="5"/>
        <w:ind w:left="1360"/>
        <w:rPr>
          <w:sz w:val="24"/>
          <w:szCs w:val="24"/>
        </w:rPr>
      </w:pPr>
      <w:r>
        <w:rPr>
          <w:rFonts w:hint="eastAsia"/>
          <w:sz w:val="24"/>
          <w:szCs w:val="24"/>
        </w:rPr>
        <w:t>定位精度：同步精度</w:t>
      </w:r>
    </w:p>
    <w:p>
      <w:pPr>
        <w:tabs>
          <w:tab w:val="left" w:pos="3759"/>
        </w:tabs>
        <w:spacing w:before="158"/>
        <w:ind w:left="1360"/>
        <w:jc w:val="both"/>
        <w:rPr>
          <w:sz w:val="24"/>
          <w:szCs w:val="24"/>
        </w:rPr>
      </w:pPr>
      <w:r>
        <w:rPr>
          <w:rFonts w:hint="eastAsia"/>
          <w:sz w:val="24"/>
          <w:szCs w:val="24"/>
        </w:rPr>
        <w:t>电动吊杆：±5mm</w:t>
      </w:r>
    </w:p>
    <w:p>
      <w:pPr>
        <w:tabs>
          <w:tab w:val="left" w:pos="1840"/>
        </w:tabs>
        <w:spacing w:line="306" w:lineRule="exact"/>
        <w:ind w:left="1360"/>
        <w:rPr>
          <w:sz w:val="24"/>
        </w:rPr>
      </w:pPr>
      <w:r>
        <w:rPr>
          <w:rFonts w:hint="eastAsia"/>
          <w:sz w:val="24"/>
          <w:lang w:val="en-US"/>
        </w:rPr>
        <w:t>1.3、</w:t>
      </w:r>
      <w:r>
        <w:rPr>
          <w:rFonts w:hint="eastAsia"/>
          <w:sz w:val="24"/>
        </w:rPr>
        <w:t>舞台吊杆的运行状态及其组合舞台吊杆的运行状态</w:t>
      </w:r>
    </w:p>
    <w:p>
      <w:pPr>
        <w:spacing w:before="5" w:line="364" w:lineRule="auto"/>
        <w:ind w:left="880" w:right="1025" w:firstLine="480"/>
        <w:jc w:val="both"/>
        <w:rPr>
          <w:sz w:val="24"/>
          <w:szCs w:val="24"/>
        </w:rPr>
      </w:pPr>
      <w:r>
        <w:rPr>
          <w:rFonts w:hint="eastAsia"/>
          <w:sz w:val="24"/>
          <w:szCs w:val="24"/>
        </w:rPr>
        <w:t>除吊杆外，其它台上设备为单台设备独立运行。其中部分设备为两个固定停位点：部分设备除两个固定停位点外，可自由设定中间位置。可中间设定位置的设备，采用设定位置的支行状态时，以相对舞台平面的高度来表示。</w:t>
      </w:r>
    </w:p>
    <w:p>
      <w:pPr>
        <w:spacing w:line="304" w:lineRule="exact"/>
        <w:ind w:left="1360"/>
        <w:rPr>
          <w:sz w:val="24"/>
          <w:szCs w:val="24"/>
        </w:rPr>
      </w:pPr>
      <w:r>
        <w:rPr>
          <w:rFonts w:hint="eastAsia"/>
          <w:sz w:val="24"/>
          <w:szCs w:val="24"/>
        </w:rPr>
        <w:t>吊杆的运行状态有：</w:t>
      </w:r>
    </w:p>
    <w:p>
      <w:pPr>
        <w:spacing w:before="161" w:line="364" w:lineRule="auto"/>
        <w:ind w:left="880" w:right="1025" w:firstLine="480"/>
        <w:jc w:val="both"/>
        <w:rPr>
          <w:sz w:val="24"/>
          <w:szCs w:val="24"/>
        </w:rPr>
      </w:pPr>
      <w:r>
        <w:rPr>
          <w:rFonts w:hint="eastAsia"/>
          <w:sz w:val="24"/>
          <w:szCs w:val="24"/>
        </w:rPr>
        <w:t>单台吊杆运行：分设定位置和设定行程两种，即任一吊杆在原始位置下， 按设定的位置或行程以设定的速度（时间）运行。位置以相对舞台平面的高度来表示，而行程则是以该吊杆原始位置为基准并具有方向性。</w:t>
      </w:r>
    </w:p>
    <w:p>
      <w:pPr>
        <w:spacing w:line="364" w:lineRule="auto"/>
        <w:ind w:left="880" w:right="1025" w:firstLine="480"/>
        <w:jc w:val="both"/>
        <w:rPr>
          <w:sz w:val="24"/>
          <w:szCs w:val="24"/>
        </w:rPr>
      </w:pPr>
      <w:r>
        <w:rPr>
          <w:rFonts w:hint="eastAsia"/>
          <w:sz w:val="24"/>
          <w:szCs w:val="24"/>
        </w:rPr>
        <w:t>多台吊杆运行：分设定位置（各吊杆位置相同或不同）或设定行程（各吊杆行程相同或不同）两种，并以设定的速度（各吊杆速度相同或不同）或时间运行。当多台吊杆设定速度相同时即为同步运行。</w:t>
      </w:r>
    </w:p>
    <w:p>
      <w:pPr>
        <w:spacing w:line="304" w:lineRule="exact"/>
        <w:ind w:left="1360"/>
        <w:rPr>
          <w:sz w:val="24"/>
          <w:szCs w:val="24"/>
        </w:rPr>
      </w:pPr>
      <w:r>
        <w:rPr>
          <w:rFonts w:hint="eastAsia"/>
          <w:sz w:val="24"/>
          <w:szCs w:val="24"/>
        </w:rPr>
        <w:t>c.舞台吊杆在有效行程内，均可手动控制速度、行程、位置的运行状态。</w:t>
      </w:r>
    </w:p>
    <w:p>
      <w:pPr>
        <w:spacing w:before="158" w:line="364" w:lineRule="auto"/>
        <w:ind w:left="880" w:right="1025" w:firstLine="480"/>
        <w:rPr>
          <w:b/>
          <w:bCs/>
          <w:sz w:val="24"/>
          <w:szCs w:val="24"/>
        </w:rPr>
      </w:pPr>
      <w:r>
        <w:rPr>
          <w:rFonts w:hint="eastAsia"/>
          <w:b/>
          <w:bCs/>
          <w:sz w:val="24"/>
          <w:szCs w:val="24"/>
          <w:lang w:val="en-US"/>
        </w:rPr>
        <w:t>2</w:t>
      </w:r>
      <w:r>
        <w:rPr>
          <w:b/>
          <w:bCs/>
          <w:sz w:val="24"/>
          <w:szCs w:val="24"/>
          <w:lang w:val="en-US"/>
        </w:rPr>
        <w:t>)</w:t>
      </w:r>
      <w:r>
        <w:rPr>
          <w:rFonts w:hint="eastAsia"/>
          <w:b/>
          <w:bCs/>
          <w:sz w:val="24"/>
          <w:szCs w:val="24"/>
          <w:lang w:val="en-US"/>
        </w:rPr>
        <w:t>、</w:t>
      </w:r>
      <w:r>
        <w:rPr>
          <w:rFonts w:hint="eastAsia"/>
          <w:b/>
          <w:bCs/>
          <w:sz w:val="24"/>
          <w:szCs w:val="24"/>
        </w:rPr>
        <w:t>电源</w:t>
      </w:r>
    </w:p>
    <w:p>
      <w:pPr>
        <w:spacing w:before="158" w:line="364" w:lineRule="auto"/>
        <w:ind w:left="880" w:right="1025" w:firstLine="480"/>
        <w:rPr>
          <w:sz w:val="24"/>
          <w:szCs w:val="24"/>
        </w:rPr>
      </w:pPr>
      <w:r>
        <w:rPr>
          <w:rFonts w:hint="eastAsia"/>
          <w:sz w:val="24"/>
          <w:szCs w:val="24"/>
        </w:rPr>
        <w:t>外部供给舞台机械设备的配电系统为双回路电源，每一回路均能满足舞台机械设备全负荷运转要求。</w:t>
      </w:r>
    </w:p>
    <w:p>
      <w:pPr>
        <w:spacing w:line="306" w:lineRule="exact"/>
        <w:ind w:left="1360"/>
        <w:rPr>
          <w:sz w:val="24"/>
          <w:szCs w:val="24"/>
        </w:rPr>
      </w:pPr>
      <w:r>
        <w:rPr>
          <w:rFonts w:hint="eastAsia"/>
          <w:sz w:val="24"/>
          <w:szCs w:val="24"/>
        </w:rPr>
        <w:t>电源频率：50HZ</w:t>
      </w:r>
    </w:p>
    <w:p>
      <w:pPr>
        <w:spacing w:before="160" w:line="364" w:lineRule="auto"/>
        <w:ind w:left="1480" w:right="1865" w:hanging="120"/>
        <w:rPr>
          <w:sz w:val="24"/>
          <w:szCs w:val="24"/>
        </w:rPr>
      </w:pPr>
      <w:r>
        <w:rPr>
          <w:rFonts w:hint="eastAsia"/>
          <w:spacing w:val="-8"/>
          <w:sz w:val="24"/>
          <w:szCs w:val="24"/>
        </w:rPr>
        <w:t xml:space="preserve">电源电压：三组 </w:t>
      </w:r>
      <w:r>
        <w:rPr>
          <w:rFonts w:hint="eastAsia"/>
          <w:sz w:val="24"/>
          <w:szCs w:val="24"/>
        </w:rPr>
        <w:t>380VAC，</w:t>
      </w:r>
      <w:r>
        <w:rPr>
          <w:rFonts w:hint="eastAsia"/>
          <w:spacing w:val="-20"/>
          <w:sz w:val="24"/>
          <w:szCs w:val="24"/>
        </w:rPr>
        <w:t xml:space="preserve">单组 </w:t>
      </w:r>
      <w:r>
        <w:rPr>
          <w:rFonts w:hint="eastAsia"/>
          <w:sz w:val="24"/>
          <w:szCs w:val="24"/>
        </w:rPr>
        <w:t>220VAC，电压波动-15％～+10％</w:t>
      </w:r>
      <w:r>
        <w:rPr>
          <w:rFonts w:hint="eastAsia"/>
          <w:spacing w:val="-19"/>
          <w:sz w:val="24"/>
          <w:szCs w:val="24"/>
        </w:rPr>
        <w:t>。</w:t>
      </w:r>
      <w:r>
        <w:rPr>
          <w:rFonts w:hint="eastAsia"/>
          <w:spacing w:val="-6"/>
          <w:sz w:val="24"/>
          <w:szCs w:val="24"/>
        </w:rPr>
        <w:t xml:space="preserve">电网总谐波畸变率：在 </w:t>
      </w:r>
      <w:r>
        <w:rPr>
          <w:rFonts w:hint="eastAsia"/>
          <w:sz w:val="24"/>
          <w:szCs w:val="24"/>
        </w:rPr>
        <w:t>380V</w:t>
      </w:r>
      <w:r>
        <w:rPr>
          <w:rFonts w:hint="eastAsia"/>
          <w:spacing w:val="-30"/>
          <w:sz w:val="24"/>
          <w:szCs w:val="24"/>
        </w:rPr>
        <w:t xml:space="preserve"> 侧</w:t>
      </w:r>
      <w:r>
        <w:rPr>
          <w:rFonts w:hint="eastAsia"/>
          <w:sz w:val="24"/>
          <w:szCs w:val="24"/>
        </w:rPr>
        <w:t>＜5％。</w:t>
      </w:r>
    </w:p>
    <w:p>
      <w:pPr>
        <w:spacing w:before="158" w:line="364" w:lineRule="auto"/>
        <w:ind w:left="880" w:right="1025" w:firstLine="480"/>
        <w:rPr>
          <w:b/>
          <w:bCs/>
          <w:sz w:val="24"/>
          <w:szCs w:val="24"/>
        </w:rPr>
      </w:pPr>
      <w:r>
        <w:rPr>
          <w:rFonts w:hint="eastAsia"/>
          <w:b/>
          <w:bCs/>
          <w:sz w:val="24"/>
          <w:szCs w:val="24"/>
          <w:lang w:val="en-US"/>
        </w:rPr>
        <w:t>3</w:t>
      </w:r>
      <w:r>
        <w:rPr>
          <w:b/>
          <w:bCs/>
          <w:sz w:val="24"/>
          <w:szCs w:val="24"/>
          <w:lang w:val="en-US"/>
        </w:rPr>
        <w:t>)</w:t>
      </w:r>
      <w:r>
        <w:rPr>
          <w:rFonts w:hint="eastAsia"/>
          <w:b/>
          <w:bCs/>
          <w:sz w:val="24"/>
          <w:szCs w:val="24"/>
          <w:lang w:val="en-US"/>
        </w:rPr>
        <w:t>、</w:t>
      </w:r>
      <w:r>
        <w:rPr>
          <w:rFonts w:hint="eastAsia"/>
          <w:b/>
          <w:bCs/>
          <w:sz w:val="24"/>
          <w:szCs w:val="24"/>
        </w:rPr>
        <w:t>最多同时运行设备台数</w:t>
      </w:r>
    </w:p>
    <w:p>
      <w:pPr>
        <w:spacing w:before="43"/>
        <w:ind w:left="1360"/>
        <w:rPr>
          <w:sz w:val="24"/>
          <w:szCs w:val="24"/>
        </w:rPr>
      </w:pPr>
      <w:r>
        <w:rPr>
          <w:rFonts w:hint="eastAsia"/>
          <w:sz w:val="24"/>
          <w:szCs w:val="24"/>
        </w:rPr>
        <w:t>台上设备：10道电动吊杆与所有灯光吊杆。</w:t>
      </w:r>
    </w:p>
    <w:p>
      <w:pPr>
        <w:spacing w:before="160"/>
        <w:ind w:left="1360"/>
        <w:rPr>
          <w:sz w:val="24"/>
          <w:szCs w:val="24"/>
        </w:rPr>
      </w:pPr>
      <w:r>
        <w:rPr>
          <w:rFonts w:hint="eastAsia"/>
          <w:sz w:val="24"/>
          <w:szCs w:val="24"/>
        </w:rPr>
        <w:t>主控制系统可实时监控同时运行设备的运行状态。</w:t>
      </w:r>
    </w:p>
    <w:p>
      <w:pPr>
        <w:tabs>
          <w:tab w:val="left" w:pos="1723"/>
        </w:tabs>
        <w:spacing w:before="158" w:line="364" w:lineRule="auto"/>
        <w:ind w:left="1360" w:right="4729"/>
        <w:rPr>
          <w:b/>
          <w:spacing w:val="-1"/>
          <w:sz w:val="24"/>
        </w:rPr>
      </w:pPr>
      <w:r>
        <w:rPr>
          <w:b/>
          <w:bCs/>
          <w:sz w:val="24"/>
          <w:szCs w:val="24"/>
          <w:lang w:val="en-US"/>
        </w:rPr>
        <w:t>4</w:t>
      </w:r>
      <w:r>
        <w:rPr>
          <w:rFonts w:hint="eastAsia"/>
          <w:b/>
          <w:bCs/>
          <w:sz w:val="24"/>
          <w:szCs w:val="24"/>
          <w:lang w:val="en-US"/>
        </w:rPr>
        <w:t>)</w:t>
      </w:r>
      <w:r>
        <w:rPr>
          <w:rFonts w:hint="eastAsia"/>
          <w:b/>
          <w:bCs/>
          <w:sz w:val="24"/>
          <w:szCs w:val="24"/>
        </w:rPr>
        <w:t>有同步要求</w:t>
      </w:r>
      <w:r>
        <w:rPr>
          <w:rFonts w:hint="eastAsia"/>
          <w:b/>
          <w:spacing w:val="-1"/>
          <w:sz w:val="24"/>
        </w:rPr>
        <w:t>的设备为：电动吊杆。</w:t>
      </w:r>
      <w:bookmarkStart w:id="44" w:name="2、采用标准"/>
      <w:bookmarkEnd w:id="44"/>
    </w:p>
    <w:p>
      <w:pPr>
        <w:pStyle w:val="6"/>
      </w:pPr>
      <w:r>
        <w:rPr>
          <w:rFonts w:hint="eastAsia"/>
        </w:rPr>
        <w:t>2、采用标准</w:t>
      </w:r>
    </w:p>
    <w:p>
      <w:pPr>
        <w:spacing w:line="364" w:lineRule="auto"/>
        <w:ind w:left="880" w:right="1025" w:firstLine="480"/>
        <w:rPr>
          <w:sz w:val="24"/>
          <w:szCs w:val="24"/>
        </w:rPr>
      </w:pPr>
      <w:r>
        <w:rPr>
          <w:rFonts w:hint="eastAsia"/>
          <w:sz w:val="24"/>
          <w:szCs w:val="24"/>
        </w:rPr>
        <w:t>舞台机械的设计、制造、检验与验收应符合中国现行的有关标准和法</w:t>
      </w:r>
      <w:bookmarkStart w:id="45" w:name="3、机件的通用要求"/>
      <w:bookmarkEnd w:id="45"/>
    </w:p>
    <w:p>
      <w:pPr>
        <w:pStyle w:val="6"/>
      </w:pPr>
      <w:r>
        <w:rPr>
          <w:rFonts w:hint="eastAsia"/>
        </w:rPr>
        <w:t>3、机件的通用要求</w:t>
      </w:r>
    </w:p>
    <w:p>
      <w:pPr>
        <w:pStyle w:val="7"/>
        <w:rPr>
          <w:szCs w:val="22"/>
        </w:rPr>
      </w:pPr>
      <w:bookmarkStart w:id="46" w:name="3.1一般原则"/>
      <w:bookmarkEnd w:id="46"/>
      <w:r>
        <w:rPr>
          <w:rFonts w:hint="eastAsia"/>
          <w:szCs w:val="22"/>
          <w:lang w:val="en-US"/>
        </w:rPr>
        <w:t>3.1、</w:t>
      </w:r>
      <w:r>
        <w:rPr>
          <w:rFonts w:hint="eastAsia"/>
          <w:szCs w:val="22"/>
        </w:rPr>
        <w:t>一般原则</w:t>
      </w:r>
    </w:p>
    <w:p>
      <w:pPr>
        <w:tabs>
          <w:tab w:val="left" w:pos="1721"/>
        </w:tabs>
        <w:spacing w:before="160" w:line="364" w:lineRule="auto"/>
        <w:ind w:left="1360" w:right="905"/>
        <w:rPr>
          <w:sz w:val="24"/>
        </w:rPr>
      </w:pPr>
      <w:r>
        <w:rPr>
          <w:rFonts w:hint="eastAsia"/>
          <w:spacing w:val="-1"/>
          <w:sz w:val="24"/>
          <w:lang w:val="en-US"/>
        </w:rPr>
        <w:t>1）</w:t>
      </w:r>
      <w:r>
        <w:rPr>
          <w:rFonts w:hint="eastAsia"/>
          <w:spacing w:val="-1"/>
          <w:sz w:val="24"/>
        </w:rPr>
        <w:t>用于舞台吊杆工程系统的所有设备，应尽量采用标准化部件及零件，采</w:t>
      </w:r>
      <w:r>
        <w:rPr>
          <w:rFonts w:hint="eastAsia"/>
          <w:sz w:val="24"/>
        </w:rPr>
        <w:t>用制造厂商生产的标准产品。在标准产品的某一项技术性能不能满足单项设备技术规范与要求的情况下，应采用制造厂商改造的或同意的改造标准产品。</w:t>
      </w:r>
    </w:p>
    <w:p>
      <w:pPr>
        <w:tabs>
          <w:tab w:val="left" w:pos="1721"/>
        </w:tabs>
        <w:spacing w:line="364" w:lineRule="auto"/>
        <w:ind w:left="1360" w:right="905"/>
        <w:rPr>
          <w:sz w:val="24"/>
        </w:rPr>
      </w:pPr>
      <w:r>
        <w:rPr>
          <w:rFonts w:hint="eastAsia"/>
          <w:spacing w:val="-1"/>
          <w:sz w:val="24"/>
          <w:lang w:val="en-US"/>
        </w:rPr>
        <w:t>2）</w:t>
      </w:r>
      <w:r>
        <w:rPr>
          <w:rFonts w:hint="eastAsia"/>
          <w:spacing w:val="-1"/>
          <w:sz w:val="24"/>
        </w:rPr>
        <w:t>设备所用的所有材料必须是全新的，材料应符合有关标准并具有出厂检</w:t>
      </w:r>
      <w:r>
        <w:rPr>
          <w:rFonts w:hint="eastAsia"/>
          <w:sz w:val="24"/>
        </w:rPr>
        <w:t>验及质量合格证。不得使用低于设计标准的材料。</w:t>
      </w:r>
    </w:p>
    <w:p>
      <w:pPr>
        <w:tabs>
          <w:tab w:val="left" w:pos="1721"/>
        </w:tabs>
        <w:spacing w:line="364" w:lineRule="auto"/>
        <w:ind w:left="1360" w:right="905"/>
        <w:rPr>
          <w:sz w:val="24"/>
        </w:rPr>
      </w:pPr>
      <w:r>
        <w:rPr>
          <w:rFonts w:hint="eastAsia"/>
          <w:spacing w:val="-1"/>
          <w:sz w:val="24"/>
          <w:lang w:val="en-US"/>
        </w:rPr>
        <w:t>3）</w:t>
      </w:r>
      <w:r>
        <w:rPr>
          <w:rFonts w:hint="eastAsia"/>
          <w:spacing w:val="-1"/>
          <w:sz w:val="24"/>
        </w:rPr>
        <w:t>设备零、部件的制造工艺应是高质量的，所有制造、机械加工、焊接、</w:t>
      </w:r>
      <w:r>
        <w:rPr>
          <w:rFonts w:hint="eastAsia"/>
          <w:sz w:val="24"/>
        </w:rPr>
        <w:t>组装、布线、试验及其它工作，均由经过培训的，有经验的技术工人或专业人员承担完成。</w:t>
      </w:r>
    </w:p>
    <w:p>
      <w:pPr>
        <w:tabs>
          <w:tab w:val="left" w:pos="1721"/>
        </w:tabs>
        <w:spacing w:line="364" w:lineRule="auto"/>
        <w:ind w:left="1360" w:right="905"/>
        <w:rPr>
          <w:sz w:val="24"/>
        </w:rPr>
      </w:pPr>
      <w:r>
        <w:rPr>
          <w:rFonts w:hint="eastAsia"/>
          <w:spacing w:val="-1"/>
          <w:sz w:val="24"/>
          <w:lang w:val="en-US"/>
        </w:rPr>
        <w:t>4）</w:t>
      </w:r>
      <w:r>
        <w:rPr>
          <w:rFonts w:hint="eastAsia"/>
          <w:spacing w:val="-1"/>
          <w:sz w:val="24"/>
        </w:rPr>
        <w:t>吊杆设计时应考虑一般维修工作的简单和快捷，只需进行少量的拆卸工</w:t>
      </w:r>
      <w:r>
        <w:rPr>
          <w:rFonts w:hint="eastAsia"/>
          <w:sz w:val="24"/>
        </w:rPr>
        <w:t>作即可对所有电气和机械部件进行检查和维修。减速器的注油、排油等部件应易于接近，检查油位、加油或换油时不需折卸任何部件。钢丝绳和链条应能进行全长检查，需要进行调整的部件应易于接近。电子设备、计算机及控制设备应有自我诊断系统以简化寻找故障和便于设备维修，不用拆下承装部件就能更换任何损坏部件，更换部件时也不会损坏其它部件，维修工作不需要使用特殊工具，只需一般工具和试验设备。</w:t>
      </w:r>
    </w:p>
    <w:p>
      <w:pPr>
        <w:tabs>
          <w:tab w:val="left" w:pos="1721"/>
        </w:tabs>
        <w:spacing w:line="364" w:lineRule="auto"/>
        <w:ind w:left="1360" w:right="905"/>
        <w:rPr>
          <w:sz w:val="24"/>
        </w:rPr>
      </w:pPr>
      <w:r>
        <w:rPr>
          <w:rFonts w:hint="eastAsia"/>
          <w:spacing w:val="-1"/>
          <w:sz w:val="24"/>
          <w:lang w:val="en-US"/>
        </w:rPr>
        <w:t>5）</w:t>
      </w:r>
      <w:r>
        <w:rPr>
          <w:rFonts w:hint="eastAsia"/>
          <w:spacing w:val="-1"/>
          <w:sz w:val="24"/>
        </w:rPr>
        <w:t>吊杆设计时应考虑易于工地组装，现场安装快速高效。电气和控制设备</w:t>
      </w:r>
      <w:r>
        <w:rPr>
          <w:rFonts w:hint="eastAsia"/>
          <w:sz w:val="24"/>
        </w:rPr>
        <w:t>应有合理的分给，发货前在工厂进行过预试验，以减少现场试验的时间。</w:t>
      </w:r>
    </w:p>
    <w:p>
      <w:pPr>
        <w:tabs>
          <w:tab w:val="left" w:pos="1721"/>
        </w:tabs>
        <w:spacing w:line="364" w:lineRule="auto"/>
        <w:ind w:left="1360" w:right="1025"/>
        <w:rPr>
          <w:sz w:val="24"/>
        </w:rPr>
      </w:pPr>
      <w:r>
        <w:rPr>
          <w:rFonts w:hint="eastAsia"/>
          <w:spacing w:val="-1"/>
          <w:sz w:val="24"/>
          <w:lang w:val="en-US"/>
        </w:rPr>
        <w:t>6）</w:t>
      </w:r>
      <w:r>
        <w:rPr>
          <w:rFonts w:hint="eastAsia"/>
          <w:spacing w:val="-1"/>
          <w:sz w:val="24"/>
        </w:rPr>
        <w:t>吊杆和电气系统的设计应使其所有零部件具有在额定值(额定负荷、额</w:t>
      </w:r>
      <w:r>
        <w:rPr>
          <w:rFonts w:hint="eastAsia"/>
          <w:sz w:val="24"/>
        </w:rPr>
        <w:t>定速发)下工作能力。能在规定的速度范围内稳定运转，无冲击，噪声符合要求。</w:t>
      </w:r>
    </w:p>
    <w:p>
      <w:pPr>
        <w:pStyle w:val="7"/>
        <w:rPr>
          <w:szCs w:val="22"/>
        </w:rPr>
      </w:pPr>
      <w:bookmarkStart w:id="47" w:name="3.2安全设计"/>
      <w:bookmarkEnd w:id="47"/>
      <w:r>
        <w:rPr>
          <w:rFonts w:hint="eastAsia"/>
          <w:szCs w:val="22"/>
          <w:lang w:val="en-US"/>
        </w:rPr>
        <w:t>3.2、</w:t>
      </w:r>
      <w:r>
        <w:rPr>
          <w:rFonts w:hint="eastAsia"/>
          <w:szCs w:val="22"/>
        </w:rPr>
        <w:t>安全设计</w:t>
      </w:r>
    </w:p>
    <w:p>
      <w:pPr>
        <w:pStyle w:val="8"/>
        <w:ind w:left="1320" w:firstLine="482"/>
      </w:pPr>
      <w:r>
        <w:rPr>
          <w:rFonts w:hint="eastAsia"/>
        </w:rPr>
        <w:t>1、人身安全</w:t>
      </w:r>
    </w:p>
    <w:p>
      <w:pPr>
        <w:tabs>
          <w:tab w:val="left" w:pos="1601"/>
        </w:tabs>
        <w:spacing w:before="43" w:line="364" w:lineRule="auto"/>
        <w:ind w:left="1360" w:right="1025"/>
        <w:rPr>
          <w:sz w:val="24"/>
        </w:rPr>
      </w:pPr>
      <w:r>
        <w:rPr>
          <w:rFonts w:hint="eastAsia"/>
          <w:spacing w:val="-1"/>
          <w:sz w:val="24"/>
          <w:lang w:val="en-US"/>
        </w:rPr>
        <w:t>1）</w:t>
      </w:r>
      <w:r>
        <w:rPr>
          <w:rFonts w:hint="eastAsia"/>
          <w:spacing w:val="-1"/>
          <w:sz w:val="24"/>
        </w:rPr>
        <w:t>所有设备和装置均应满足相应的安全标准和操作规程，符合安全卫生要</w:t>
      </w:r>
      <w:r>
        <w:rPr>
          <w:rFonts w:hint="eastAsia"/>
          <w:sz w:val="24"/>
        </w:rPr>
        <w:t>求。保证用户在安全工作环境下使用和维修设备。</w:t>
      </w:r>
    </w:p>
    <w:p>
      <w:pPr>
        <w:tabs>
          <w:tab w:val="left" w:pos="1601"/>
        </w:tabs>
        <w:spacing w:line="364" w:lineRule="auto"/>
        <w:ind w:left="1360" w:right="1025"/>
        <w:rPr>
          <w:sz w:val="24"/>
        </w:rPr>
      </w:pPr>
      <w:r>
        <w:rPr>
          <w:rFonts w:hint="eastAsia"/>
          <w:spacing w:val="-1"/>
          <w:sz w:val="24"/>
          <w:lang w:val="en-US"/>
        </w:rPr>
        <w:t>2）</w:t>
      </w:r>
      <w:r>
        <w:rPr>
          <w:rFonts w:hint="eastAsia"/>
          <w:spacing w:val="-1"/>
          <w:sz w:val="24"/>
        </w:rPr>
        <w:t>所有机械、电气控制系统应具有故障自动保护功能，以保证对人身是安</w:t>
      </w:r>
      <w:r>
        <w:rPr>
          <w:rFonts w:hint="eastAsia"/>
          <w:sz w:val="24"/>
        </w:rPr>
        <w:t>全的。</w:t>
      </w:r>
    </w:p>
    <w:p>
      <w:pPr>
        <w:tabs>
          <w:tab w:val="left" w:pos="1601"/>
        </w:tabs>
        <w:spacing w:line="364" w:lineRule="auto"/>
        <w:ind w:left="1360" w:right="1025"/>
        <w:jc w:val="both"/>
        <w:rPr>
          <w:sz w:val="24"/>
        </w:rPr>
      </w:pPr>
      <w:r>
        <w:rPr>
          <w:rFonts w:hint="eastAsia"/>
          <w:spacing w:val="-1"/>
          <w:sz w:val="24"/>
          <w:lang w:val="en-US"/>
        </w:rPr>
        <w:t>3）</w:t>
      </w:r>
      <w:r>
        <w:rPr>
          <w:rFonts w:hint="eastAsia"/>
          <w:spacing w:val="-1"/>
          <w:sz w:val="24"/>
        </w:rPr>
        <w:t>所有运行设备均设置应急停车系统。急停车系统应能使附近操作人员在发生事故或潜在事故时，方便而迅速地停止该区域内设备的所有运动部件的运</w:t>
      </w:r>
      <w:r>
        <w:rPr>
          <w:rFonts w:hint="eastAsia"/>
          <w:sz w:val="24"/>
        </w:rPr>
        <w:t>转。在操作台上适当位置设置紧急停车按钮。</w:t>
      </w:r>
    </w:p>
    <w:p>
      <w:pPr>
        <w:tabs>
          <w:tab w:val="left" w:pos="1601"/>
        </w:tabs>
        <w:spacing w:line="364" w:lineRule="auto"/>
        <w:ind w:left="1360" w:right="1025"/>
        <w:rPr>
          <w:sz w:val="24"/>
        </w:rPr>
      </w:pPr>
      <w:r>
        <w:rPr>
          <w:rFonts w:hint="eastAsia"/>
          <w:spacing w:val="-1"/>
          <w:sz w:val="24"/>
          <w:lang w:val="en-US"/>
        </w:rPr>
        <w:t>4）</w:t>
      </w:r>
      <w:r>
        <w:rPr>
          <w:rFonts w:hint="eastAsia"/>
          <w:spacing w:val="-1"/>
          <w:sz w:val="24"/>
        </w:rPr>
        <w:t>所有从正常通道上能接触到的设备的移动或旋转的零部件均应设防护装</w:t>
      </w:r>
      <w:r>
        <w:rPr>
          <w:rFonts w:hint="eastAsia"/>
          <w:sz w:val="24"/>
        </w:rPr>
        <w:t>置，防止人身伤害。平衡重以及类似装置的护网或护栏至少应高出相邻地面2.3m</w:t>
      </w:r>
      <w:r>
        <w:rPr>
          <w:rFonts w:hint="eastAsia"/>
          <w:spacing w:val="-8"/>
          <w:sz w:val="24"/>
        </w:rPr>
        <w:t xml:space="preserve"> 以上，位于走道的维修门洞或活门，应有明显的标志。</w:t>
      </w:r>
    </w:p>
    <w:p>
      <w:pPr>
        <w:tabs>
          <w:tab w:val="left" w:pos="1721"/>
        </w:tabs>
        <w:spacing w:line="364" w:lineRule="auto"/>
        <w:ind w:left="1360" w:right="1025"/>
        <w:rPr>
          <w:sz w:val="24"/>
        </w:rPr>
      </w:pPr>
      <w:r>
        <w:rPr>
          <w:rFonts w:hint="eastAsia"/>
          <w:spacing w:val="-4"/>
          <w:sz w:val="24"/>
          <w:lang w:val="en-US"/>
        </w:rPr>
        <w:t>5）</w:t>
      </w:r>
      <w:r>
        <w:rPr>
          <w:rFonts w:hint="eastAsia"/>
          <w:spacing w:val="-4"/>
          <w:sz w:val="24"/>
        </w:rPr>
        <w:t xml:space="preserve">和危险区域毗邻或比邻近平面高差超过 </w:t>
      </w:r>
      <w:r>
        <w:rPr>
          <w:rFonts w:hint="eastAsia"/>
          <w:sz w:val="24"/>
        </w:rPr>
        <w:t>1m</w:t>
      </w:r>
      <w:r>
        <w:rPr>
          <w:rFonts w:hint="eastAsia"/>
          <w:spacing w:val="-9"/>
          <w:sz w:val="24"/>
        </w:rPr>
        <w:t xml:space="preserve"> 以上的工作面、演出面、道</w:t>
      </w:r>
      <w:r>
        <w:rPr>
          <w:rFonts w:hint="eastAsia"/>
          <w:sz w:val="24"/>
        </w:rPr>
        <w:t>路和出入口，必须配置有效的装置，防止人员坠落。</w:t>
      </w:r>
    </w:p>
    <w:p>
      <w:pPr>
        <w:tabs>
          <w:tab w:val="left" w:pos="1721"/>
        </w:tabs>
        <w:spacing w:line="364" w:lineRule="auto"/>
        <w:ind w:left="1360" w:right="905"/>
        <w:rPr>
          <w:sz w:val="24"/>
        </w:rPr>
      </w:pPr>
      <w:r>
        <w:rPr>
          <w:rFonts w:hint="eastAsia"/>
          <w:sz w:val="24"/>
          <w:lang w:val="en-US"/>
        </w:rPr>
        <w:t>6）</w:t>
      </w:r>
      <w:r>
        <w:rPr>
          <w:rFonts w:hint="eastAsia"/>
          <w:sz w:val="24"/>
        </w:rPr>
        <w:t>每一台设备附近适当位置，应设置维修按钮（也用于安装调试），</w:t>
      </w:r>
      <w:r>
        <w:rPr>
          <w:rFonts w:hint="eastAsia"/>
          <w:spacing w:val="-10"/>
          <w:sz w:val="24"/>
        </w:rPr>
        <w:t>当维</w:t>
      </w:r>
      <w:r>
        <w:rPr>
          <w:rFonts w:hint="eastAsia"/>
          <w:sz w:val="24"/>
        </w:rPr>
        <w:t>修人员使用该按钮进行设备维修工作时，该设备无法从其操作台（盘）投入转动，以确保维修人员的安全。</w:t>
      </w:r>
    </w:p>
    <w:p>
      <w:pPr>
        <w:tabs>
          <w:tab w:val="left" w:pos="1721"/>
        </w:tabs>
        <w:spacing w:line="364" w:lineRule="auto"/>
        <w:ind w:left="1360" w:right="905"/>
        <w:rPr>
          <w:sz w:val="24"/>
        </w:rPr>
      </w:pPr>
      <w:r>
        <w:rPr>
          <w:rFonts w:hint="eastAsia"/>
          <w:spacing w:val="-1"/>
          <w:sz w:val="24"/>
          <w:lang w:val="en-US"/>
        </w:rPr>
        <w:t>7）</w:t>
      </w:r>
      <w:r>
        <w:rPr>
          <w:rFonts w:hint="eastAsia"/>
          <w:spacing w:val="-1"/>
          <w:sz w:val="24"/>
        </w:rPr>
        <w:t>必须人力搬起和移动物品，应标明重量和重心的位置，经常移动的设备</w:t>
      </w:r>
      <w:r>
        <w:rPr>
          <w:rFonts w:hint="eastAsia"/>
          <w:sz w:val="24"/>
        </w:rPr>
        <w:t>重量应轻，并按规定的标准设置把手。</w:t>
      </w:r>
    </w:p>
    <w:p>
      <w:pPr>
        <w:tabs>
          <w:tab w:val="left" w:pos="1721"/>
        </w:tabs>
        <w:spacing w:line="364" w:lineRule="auto"/>
        <w:ind w:left="1360" w:right="905"/>
        <w:rPr>
          <w:sz w:val="24"/>
        </w:rPr>
      </w:pPr>
      <w:r>
        <w:rPr>
          <w:rFonts w:hint="eastAsia"/>
          <w:spacing w:val="-1"/>
          <w:sz w:val="24"/>
          <w:lang w:val="en-US"/>
        </w:rPr>
        <w:t>8）</w:t>
      </w:r>
      <w:r>
        <w:rPr>
          <w:rFonts w:hint="eastAsia"/>
          <w:spacing w:val="-1"/>
          <w:sz w:val="24"/>
        </w:rPr>
        <w:t>未经操作人员启动，任何设备均应处于静止状态，只有在操作人员启动</w:t>
      </w:r>
      <w:r>
        <w:rPr>
          <w:rFonts w:hint="eastAsia"/>
          <w:sz w:val="24"/>
        </w:rPr>
        <w:t>相应的开关后才能运动。所有现场操作台（盘）均应清楚地标明所控制的设备名称。对吊杆设备、升降设备、行走和旋转设备在启动时，应有声光信号警告附近人员，以避免由于该设备的运动造成伤害。</w:t>
      </w:r>
    </w:p>
    <w:p>
      <w:pPr>
        <w:tabs>
          <w:tab w:val="left" w:pos="1841"/>
        </w:tabs>
        <w:spacing w:line="364" w:lineRule="auto"/>
        <w:ind w:left="1360" w:right="905"/>
        <w:rPr>
          <w:sz w:val="24"/>
        </w:rPr>
      </w:pPr>
      <w:r>
        <w:rPr>
          <w:rFonts w:hint="eastAsia"/>
          <w:sz w:val="24"/>
          <w:lang w:val="en-US"/>
        </w:rPr>
        <w:t>9）</w:t>
      </w:r>
      <w:r>
        <w:rPr>
          <w:rFonts w:hint="eastAsia"/>
          <w:sz w:val="24"/>
        </w:rPr>
        <w:t>所有电线、电缆应为耐火型，阻燃型或低烟雾（LSF）</w:t>
      </w:r>
      <w:r>
        <w:rPr>
          <w:rFonts w:hint="eastAsia"/>
          <w:spacing w:val="-3"/>
          <w:sz w:val="24"/>
        </w:rPr>
        <w:t>型。以减少事故</w:t>
      </w:r>
      <w:r>
        <w:rPr>
          <w:rFonts w:hint="eastAsia"/>
          <w:sz w:val="24"/>
        </w:rPr>
        <w:t>的发生或避免发生事故时有害烟雾对人员的伤害。</w:t>
      </w:r>
    </w:p>
    <w:p>
      <w:pPr>
        <w:pStyle w:val="8"/>
        <w:ind w:left="1320" w:firstLine="482"/>
      </w:pPr>
      <w:r>
        <w:rPr>
          <w:rFonts w:hint="eastAsia"/>
        </w:rPr>
        <w:t>2、吊杆安全系数</w:t>
      </w:r>
    </w:p>
    <w:p>
      <w:pPr>
        <w:tabs>
          <w:tab w:val="left" w:pos="1721"/>
        </w:tabs>
        <w:spacing w:before="148" w:line="364" w:lineRule="auto"/>
        <w:ind w:left="1360" w:right="905"/>
        <w:rPr>
          <w:sz w:val="24"/>
        </w:rPr>
      </w:pPr>
      <w:r>
        <w:rPr>
          <w:rFonts w:hint="eastAsia"/>
          <w:spacing w:val="-1"/>
          <w:sz w:val="24"/>
          <w:lang w:val="en-US"/>
        </w:rPr>
        <w:t>1）</w:t>
      </w:r>
      <w:r>
        <w:rPr>
          <w:rFonts w:hint="eastAsia"/>
          <w:spacing w:val="-1"/>
          <w:sz w:val="24"/>
        </w:rPr>
        <w:t>通用机械零件：所有通用机械零件在初略计算时的安全系数应大于或等</w:t>
      </w:r>
      <w:r>
        <w:rPr>
          <w:rFonts w:hint="eastAsia"/>
          <w:spacing w:val="-30"/>
          <w:sz w:val="24"/>
        </w:rPr>
        <w:t xml:space="preserve">于 </w:t>
      </w:r>
      <w:r>
        <w:rPr>
          <w:rFonts w:hint="eastAsia"/>
          <w:sz w:val="24"/>
        </w:rPr>
        <w:t>6。安全系数定义为所用材料的极限应力与最大工作应力之比。最大工作应力应考虑最大负荷及动负荷（紧急制动、碰撞等）产生的应力。</w:t>
      </w:r>
    </w:p>
    <w:p>
      <w:pPr>
        <w:tabs>
          <w:tab w:val="left" w:pos="1721"/>
        </w:tabs>
        <w:spacing w:line="364" w:lineRule="auto"/>
        <w:ind w:left="1360" w:right="1025"/>
        <w:rPr>
          <w:sz w:val="24"/>
          <w:szCs w:val="24"/>
        </w:rPr>
      </w:pPr>
      <w:r>
        <w:rPr>
          <w:rFonts w:hint="eastAsia"/>
          <w:spacing w:val="-3"/>
          <w:sz w:val="24"/>
          <w:lang w:val="en-US"/>
        </w:rPr>
        <w:t>2）</w:t>
      </w:r>
      <w:r>
        <w:rPr>
          <w:rFonts w:hint="eastAsia"/>
          <w:spacing w:val="-3"/>
          <w:sz w:val="24"/>
        </w:rPr>
        <w:t xml:space="preserve">钢丝绳：用于起吊或挂重物的钢丝绳的安全系数应等于或大于 </w:t>
      </w:r>
      <w:r>
        <w:rPr>
          <w:rFonts w:hint="eastAsia"/>
          <w:sz w:val="24"/>
        </w:rPr>
        <w:t>10。安</w:t>
      </w:r>
      <w:r>
        <w:rPr>
          <w:rFonts w:hint="eastAsia"/>
          <w:spacing w:val="-1"/>
          <w:sz w:val="24"/>
        </w:rPr>
        <w:t>全系数定义为钢丝绳的破断拉力与最大工作载荷之比。最大工作载荷应包括作</w:t>
      </w:r>
      <w:r>
        <w:rPr>
          <w:rFonts w:hint="eastAsia"/>
          <w:sz w:val="24"/>
          <w:szCs w:val="24"/>
        </w:rPr>
        <w:t>用于钢丝绳上的工作载荷，加减速时产生的动载荷以及因设备动转、钢丝绳转向等产生的附加载荷。</w:t>
      </w:r>
    </w:p>
    <w:p>
      <w:pPr>
        <w:tabs>
          <w:tab w:val="left" w:pos="1721"/>
        </w:tabs>
        <w:spacing w:line="364" w:lineRule="auto"/>
        <w:ind w:left="1360" w:right="905"/>
        <w:rPr>
          <w:sz w:val="24"/>
        </w:rPr>
      </w:pPr>
      <w:r>
        <w:rPr>
          <w:rFonts w:hint="eastAsia"/>
          <w:sz w:val="24"/>
          <w:lang w:val="en-US"/>
        </w:rPr>
        <w:t>3）</w:t>
      </w:r>
      <w:r>
        <w:rPr>
          <w:rFonts w:hint="eastAsia"/>
          <w:sz w:val="24"/>
        </w:rPr>
        <w:t>所有用于悬吊装置的附件，如钢丝绳接头（</w:t>
      </w:r>
      <w:r>
        <w:rPr>
          <w:rFonts w:hint="eastAsia"/>
          <w:spacing w:val="-2"/>
          <w:sz w:val="24"/>
        </w:rPr>
        <w:t>楔形接头、压制接头、合金</w:t>
      </w:r>
      <w:r>
        <w:rPr>
          <w:rFonts w:hint="eastAsia"/>
          <w:sz w:val="24"/>
        </w:rPr>
        <w:t>浇注接头等）、连接扣环等应与钢丝绳的规格相配，且其安全系数应等于或大</w:t>
      </w:r>
      <w:r>
        <w:rPr>
          <w:rFonts w:hint="eastAsia"/>
          <w:spacing w:val="-30"/>
          <w:sz w:val="24"/>
        </w:rPr>
        <w:t xml:space="preserve">于 </w:t>
      </w:r>
      <w:r>
        <w:rPr>
          <w:rFonts w:hint="eastAsia"/>
          <w:sz w:val="24"/>
        </w:rPr>
        <w:t>10。</w:t>
      </w:r>
    </w:p>
    <w:p>
      <w:pPr>
        <w:pStyle w:val="8"/>
        <w:ind w:left="1320" w:firstLine="482"/>
      </w:pPr>
      <w:r>
        <w:rPr>
          <w:rFonts w:hint="eastAsia"/>
        </w:rPr>
        <w:t>3、吊杆安全装置与备用系统</w:t>
      </w:r>
    </w:p>
    <w:p>
      <w:pPr>
        <w:tabs>
          <w:tab w:val="left" w:pos="1721"/>
        </w:tabs>
        <w:spacing w:before="157" w:line="364" w:lineRule="auto"/>
        <w:ind w:left="1360" w:right="905"/>
        <w:rPr>
          <w:sz w:val="24"/>
        </w:rPr>
      </w:pPr>
      <w:r>
        <w:rPr>
          <w:rFonts w:hint="eastAsia"/>
          <w:spacing w:val="-1"/>
          <w:sz w:val="24"/>
          <w:lang w:val="en-US"/>
        </w:rPr>
        <w:t>1）</w:t>
      </w:r>
      <w:r>
        <w:rPr>
          <w:rFonts w:hint="eastAsia"/>
          <w:spacing w:val="-1"/>
          <w:sz w:val="24"/>
        </w:rPr>
        <w:t>各类机械设备，除规定的中间定位开关和行程终止限位开关外，均应设</w:t>
      </w:r>
      <w:r>
        <w:rPr>
          <w:rFonts w:hint="eastAsia"/>
          <w:sz w:val="24"/>
        </w:rPr>
        <w:t>置超程限位开关，以避免设备超行程运动产生碰撞，损坏机件或发生事故。</w:t>
      </w:r>
    </w:p>
    <w:p>
      <w:pPr>
        <w:tabs>
          <w:tab w:val="left" w:pos="1721"/>
        </w:tabs>
        <w:spacing w:before="1" w:line="362" w:lineRule="auto"/>
        <w:ind w:left="1360" w:right="905"/>
        <w:rPr>
          <w:sz w:val="24"/>
        </w:rPr>
      </w:pPr>
      <w:r>
        <w:rPr>
          <w:rFonts w:hint="eastAsia"/>
          <w:sz w:val="24"/>
          <w:lang w:val="en-US"/>
        </w:rPr>
        <w:t>2）</w:t>
      </w:r>
      <w:r>
        <w:rPr>
          <w:rFonts w:hint="eastAsia"/>
          <w:sz w:val="24"/>
        </w:rPr>
        <w:t>所有吊杆卷扬机均应设有防跳绳保护、超载（过流）</w:t>
      </w:r>
      <w:r>
        <w:rPr>
          <w:rFonts w:hint="eastAsia"/>
          <w:spacing w:val="-3"/>
          <w:sz w:val="24"/>
        </w:rPr>
        <w:t>保护、超程保护、</w:t>
      </w:r>
      <w:r>
        <w:rPr>
          <w:rFonts w:hint="eastAsia"/>
          <w:sz w:val="24"/>
        </w:rPr>
        <w:t>超速保护等防止事故装置。</w:t>
      </w:r>
    </w:p>
    <w:p>
      <w:pPr>
        <w:tabs>
          <w:tab w:val="left" w:pos="1721"/>
        </w:tabs>
        <w:spacing w:before="2" w:line="364" w:lineRule="auto"/>
        <w:ind w:left="1360" w:right="905"/>
        <w:rPr>
          <w:sz w:val="24"/>
        </w:rPr>
      </w:pPr>
      <w:r>
        <w:rPr>
          <w:rFonts w:hint="eastAsia"/>
          <w:spacing w:val="-3"/>
          <w:sz w:val="24"/>
          <w:lang w:val="en-US"/>
        </w:rPr>
        <w:t>3）</w:t>
      </w:r>
      <w:r>
        <w:rPr>
          <w:rFonts w:hint="eastAsia"/>
          <w:spacing w:val="-3"/>
          <w:sz w:val="24"/>
        </w:rPr>
        <w:t xml:space="preserve">吊杆必须配备超载检测装置，该装置在吊重达到 </w:t>
      </w:r>
      <w:r>
        <w:rPr>
          <w:rFonts w:hint="eastAsia"/>
          <w:sz w:val="24"/>
        </w:rPr>
        <w:t>1.2</w:t>
      </w:r>
      <w:r>
        <w:rPr>
          <w:rFonts w:hint="eastAsia"/>
          <w:spacing w:val="-10"/>
          <w:sz w:val="24"/>
        </w:rPr>
        <w:t xml:space="preserve"> 倍额定重量时将停</w:t>
      </w:r>
      <w:r>
        <w:rPr>
          <w:rFonts w:hint="eastAsia"/>
          <w:sz w:val="24"/>
        </w:rPr>
        <w:t>止吊杆的运行。</w:t>
      </w:r>
    </w:p>
    <w:p>
      <w:pPr>
        <w:tabs>
          <w:tab w:val="left" w:pos="1721"/>
        </w:tabs>
        <w:spacing w:before="2"/>
        <w:ind w:left="1360"/>
        <w:rPr>
          <w:sz w:val="24"/>
        </w:rPr>
      </w:pPr>
      <w:r>
        <w:rPr>
          <w:rFonts w:hint="eastAsia"/>
          <w:sz w:val="24"/>
          <w:lang w:val="en-US"/>
        </w:rPr>
        <w:t>4）</w:t>
      </w:r>
      <w:r>
        <w:rPr>
          <w:rFonts w:hint="eastAsia"/>
          <w:sz w:val="24"/>
        </w:rPr>
        <w:t>操作台上均应设置紧急停车按钮，以应付紧急状态。</w:t>
      </w:r>
    </w:p>
    <w:p>
      <w:pPr>
        <w:pStyle w:val="8"/>
        <w:ind w:left="1320" w:firstLine="482"/>
      </w:pPr>
      <w:bookmarkStart w:id="48" w:name="1.3.3钢结构"/>
      <w:bookmarkEnd w:id="48"/>
      <w:r>
        <w:rPr>
          <w:rFonts w:hint="eastAsia"/>
          <w:lang w:val="en-US"/>
        </w:rPr>
        <w:t>4、</w:t>
      </w:r>
      <w:r>
        <w:rPr>
          <w:rFonts w:hint="eastAsia"/>
        </w:rPr>
        <w:t>钢结构</w:t>
      </w:r>
    </w:p>
    <w:p>
      <w:pPr>
        <w:tabs>
          <w:tab w:val="left" w:pos="1601"/>
        </w:tabs>
        <w:spacing w:before="160" w:line="362" w:lineRule="auto"/>
        <w:ind w:left="1360" w:right="1025"/>
        <w:rPr>
          <w:sz w:val="24"/>
        </w:rPr>
      </w:pPr>
      <w:r>
        <w:rPr>
          <w:rFonts w:hint="eastAsia"/>
          <w:spacing w:val="-1"/>
          <w:sz w:val="24"/>
          <w:lang w:val="en-US"/>
        </w:rPr>
        <w:t>1）</w:t>
      </w:r>
      <w:r>
        <w:rPr>
          <w:rFonts w:hint="eastAsia"/>
          <w:spacing w:val="-1"/>
          <w:sz w:val="24"/>
        </w:rPr>
        <w:t>钢结构件应设计合理，强度、刚度及稳定性能符会要求。钢结构及其接</w:t>
      </w:r>
      <w:r>
        <w:rPr>
          <w:rFonts w:hint="eastAsia"/>
          <w:sz w:val="24"/>
        </w:rPr>
        <w:t>头应能承受最大额定载荷和由紧急停车造成的冲击载荷。</w:t>
      </w:r>
    </w:p>
    <w:p>
      <w:pPr>
        <w:tabs>
          <w:tab w:val="left" w:pos="1721"/>
        </w:tabs>
        <w:spacing w:before="5"/>
        <w:ind w:left="1360"/>
        <w:rPr>
          <w:sz w:val="24"/>
        </w:rPr>
      </w:pPr>
      <w:r>
        <w:rPr>
          <w:rFonts w:hint="eastAsia"/>
          <w:sz w:val="24"/>
          <w:lang w:val="en-US"/>
        </w:rPr>
        <w:t>2）</w:t>
      </w:r>
      <w:r>
        <w:rPr>
          <w:rFonts w:hint="eastAsia"/>
          <w:sz w:val="24"/>
        </w:rPr>
        <w:t>钢结构件所有材料应符合有关标准，并有出厂检验及质量合格证。</w:t>
      </w:r>
    </w:p>
    <w:p>
      <w:pPr>
        <w:tabs>
          <w:tab w:val="left" w:pos="1721"/>
        </w:tabs>
        <w:spacing w:before="158" w:line="364" w:lineRule="auto"/>
        <w:ind w:left="1360" w:right="905"/>
        <w:rPr>
          <w:sz w:val="24"/>
        </w:rPr>
      </w:pPr>
      <w:r>
        <w:rPr>
          <w:rFonts w:hint="eastAsia"/>
          <w:spacing w:val="-1"/>
          <w:sz w:val="24"/>
          <w:lang w:val="en-US"/>
        </w:rPr>
        <w:t>3）</w:t>
      </w:r>
      <w:r>
        <w:rPr>
          <w:rFonts w:hint="eastAsia"/>
          <w:spacing w:val="-1"/>
          <w:sz w:val="24"/>
        </w:rPr>
        <w:t>所有钢结构件在焊接前必须进行预埋处理，板材及型材必须采用机械进</w:t>
      </w:r>
      <w:r>
        <w:rPr>
          <w:rFonts w:hint="eastAsia"/>
          <w:sz w:val="24"/>
        </w:rPr>
        <w:t>行矫直或弯曲。焊接工作必须由取得相应合格证书的焊工担任，焊缝质量应符合有关标准。</w:t>
      </w:r>
    </w:p>
    <w:p>
      <w:pPr>
        <w:tabs>
          <w:tab w:val="left" w:pos="1721"/>
        </w:tabs>
        <w:spacing w:line="362" w:lineRule="auto"/>
        <w:ind w:left="1360" w:right="905"/>
        <w:rPr>
          <w:sz w:val="24"/>
        </w:rPr>
      </w:pPr>
      <w:r>
        <w:rPr>
          <w:rFonts w:hint="eastAsia"/>
          <w:spacing w:val="-1"/>
          <w:sz w:val="24"/>
          <w:lang w:val="en-US"/>
        </w:rPr>
        <w:t>4）</w:t>
      </w:r>
      <w:r>
        <w:rPr>
          <w:rFonts w:hint="eastAsia"/>
          <w:spacing w:val="-1"/>
          <w:sz w:val="24"/>
        </w:rPr>
        <w:t>所有拼装的大型钢结构件，须采用高强螺栓边连接，所有连接用孔须钻</w:t>
      </w:r>
      <w:r>
        <w:rPr>
          <w:rFonts w:hint="eastAsia"/>
          <w:sz w:val="24"/>
        </w:rPr>
        <w:t>孔，不得冲孔。装配前钻孔须去毛刺。</w:t>
      </w:r>
    </w:p>
    <w:p>
      <w:pPr>
        <w:tabs>
          <w:tab w:val="left" w:pos="1601"/>
        </w:tabs>
        <w:spacing w:before="5" w:line="364" w:lineRule="auto"/>
        <w:ind w:left="1360" w:right="1025"/>
        <w:rPr>
          <w:sz w:val="24"/>
        </w:rPr>
      </w:pPr>
      <w:r>
        <w:rPr>
          <w:rFonts w:hint="eastAsia"/>
          <w:spacing w:val="-1"/>
          <w:sz w:val="24"/>
          <w:lang w:val="en-US"/>
        </w:rPr>
        <w:t>5）</w:t>
      </w:r>
      <w:r>
        <w:rPr>
          <w:rFonts w:hint="eastAsia"/>
          <w:spacing w:val="-1"/>
          <w:sz w:val="24"/>
        </w:rPr>
        <w:t>钢结构件的外部连接需采用螺栓连接，所有连接用孔必须为钻孔，不得</w:t>
      </w:r>
      <w:r>
        <w:rPr>
          <w:rFonts w:hint="eastAsia"/>
          <w:sz w:val="24"/>
        </w:rPr>
        <w:t>冲孔。装配前须去除钻孔毛刺。</w:t>
      </w:r>
    </w:p>
    <w:p>
      <w:pPr>
        <w:tabs>
          <w:tab w:val="left" w:pos="1601"/>
        </w:tabs>
        <w:spacing w:line="360" w:lineRule="auto"/>
        <w:ind w:left="1360" w:right="1025"/>
        <w:rPr>
          <w:sz w:val="24"/>
        </w:rPr>
      </w:pPr>
      <w:r>
        <w:rPr>
          <w:rFonts w:hint="eastAsia"/>
          <w:spacing w:val="-1"/>
          <w:sz w:val="24"/>
          <w:lang w:val="en-US"/>
        </w:rPr>
        <w:t>6）</w:t>
      </w:r>
      <w:r>
        <w:rPr>
          <w:rFonts w:hint="eastAsia"/>
          <w:spacing w:val="-1"/>
          <w:sz w:val="24"/>
        </w:rPr>
        <w:t>需要机械加工的焊接钢结构和重要的钢结构件，加工前应进行热处理或</w:t>
      </w:r>
      <w:r>
        <w:rPr>
          <w:rFonts w:hint="eastAsia"/>
          <w:sz w:val="24"/>
        </w:rPr>
        <w:t>时效处理，以消除应力。</w:t>
      </w:r>
    </w:p>
    <w:p>
      <w:pPr>
        <w:pStyle w:val="8"/>
        <w:ind w:left="1320" w:firstLine="476"/>
      </w:pPr>
      <w:bookmarkStart w:id="49" w:name="3.4吊杆与卷扬装置"/>
      <w:bookmarkEnd w:id="49"/>
      <w:r>
        <w:rPr>
          <w:rFonts w:hint="eastAsia"/>
          <w:spacing w:val="-3"/>
          <w:lang w:val="en-US"/>
        </w:rPr>
        <w:t>5、</w:t>
      </w:r>
      <w:r>
        <w:rPr>
          <w:rFonts w:hint="eastAsia"/>
          <w:spacing w:val="-3"/>
        </w:rPr>
        <w:t>吊杆与卷扬装置</w:t>
      </w:r>
    </w:p>
    <w:p>
      <w:pPr>
        <w:pStyle w:val="9"/>
        <w:ind w:firstLine="482"/>
      </w:pPr>
      <w:r>
        <w:rPr>
          <w:rFonts w:hint="eastAsia"/>
        </w:rPr>
        <w:t>1、吊杆卷扬机</w:t>
      </w:r>
    </w:p>
    <w:p>
      <w:pPr>
        <w:tabs>
          <w:tab w:val="left" w:pos="1720"/>
        </w:tabs>
        <w:spacing w:before="5" w:line="360" w:lineRule="auto"/>
        <w:ind w:left="1360" w:right="905"/>
        <w:rPr>
          <w:sz w:val="24"/>
          <w:szCs w:val="24"/>
        </w:rPr>
      </w:pPr>
      <w:r>
        <w:rPr>
          <w:rFonts w:hint="eastAsia"/>
          <w:spacing w:val="-1"/>
          <w:sz w:val="24"/>
          <w:lang w:val="en-US"/>
        </w:rPr>
        <w:t>1）</w:t>
      </w:r>
      <w:r>
        <w:rPr>
          <w:rFonts w:hint="eastAsia"/>
          <w:spacing w:val="-1"/>
          <w:sz w:val="24"/>
        </w:rPr>
        <w:t>连锁与受控：在所有卷扬机设备上，制动器与电动机电源应该连锁、受</w:t>
      </w:r>
      <w:r>
        <w:rPr>
          <w:rFonts w:hint="eastAsia"/>
          <w:sz w:val="24"/>
        </w:rPr>
        <w:t>控，以使制动器只能在电动机电源接通时才能松开，并保持或控制负荷。所有</w:t>
      </w:r>
      <w:r>
        <w:rPr>
          <w:rFonts w:hint="eastAsia"/>
          <w:sz w:val="24"/>
          <w:szCs w:val="24"/>
        </w:rPr>
        <w:t>的设备都应设计成一旦制动器没有得到适当控制而松开时负载会保持静止或只以低速和控制的速度下降。如果在下降中，电动机已断电而制动失灵，重物应减速或只以低速和控制速度下降。如需要应在提升机上安装附加设备以达到这一要求。</w:t>
      </w:r>
    </w:p>
    <w:p>
      <w:pPr>
        <w:tabs>
          <w:tab w:val="left" w:pos="1601"/>
        </w:tabs>
        <w:spacing w:line="364" w:lineRule="auto"/>
        <w:ind w:left="1360" w:right="1265"/>
        <w:rPr>
          <w:sz w:val="24"/>
        </w:rPr>
      </w:pPr>
      <w:r>
        <w:rPr>
          <w:rFonts w:hint="eastAsia"/>
          <w:spacing w:val="-1"/>
          <w:sz w:val="24"/>
          <w:lang w:val="en-US"/>
        </w:rPr>
        <w:t>2）</w:t>
      </w:r>
      <w:r>
        <w:rPr>
          <w:rFonts w:hint="eastAsia"/>
          <w:spacing w:val="-1"/>
          <w:sz w:val="24"/>
        </w:rPr>
        <w:t>辅助操作：所有卷扬机及其它类似电气传动装置都应配有辅助传动机</w:t>
      </w:r>
      <w:r>
        <w:rPr>
          <w:rFonts w:hint="eastAsia"/>
          <w:sz w:val="24"/>
        </w:rPr>
        <w:t>构。</w:t>
      </w:r>
    </w:p>
    <w:p>
      <w:pPr>
        <w:pStyle w:val="9"/>
        <w:ind w:firstLine="482"/>
      </w:pPr>
      <w:r>
        <w:rPr>
          <w:rFonts w:hint="eastAsia"/>
        </w:rPr>
        <w:t>2、吊杆的卷筒组件</w:t>
      </w:r>
    </w:p>
    <w:p>
      <w:pPr>
        <w:tabs>
          <w:tab w:val="left" w:pos="1601"/>
        </w:tabs>
        <w:spacing w:before="158" w:line="364" w:lineRule="auto"/>
        <w:ind w:left="1360" w:right="1025"/>
        <w:rPr>
          <w:sz w:val="24"/>
        </w:rPr>
      </w:pPr>
      <w:r>
        <w:rPr>
          <w:rFonts w:hint="eastAsia"/>
          <w:spacing w:val="-1"/>
          <w:sz w:val="24"/>
          <w:lang w:val="en-US"/>
        </w:rPr>
        <w:t>1）</w:t>
      </w:r>
      <w:r>
        <w:rPr>
          <w:rFonts w:hint="eastAsia"/>
          <w:spacing w:val="-1"/>
          <w:sz w:val="24"/>
        </w:rPr>
        <w:t>电力驱动的卷筒必须采用单层卷绕卷筒。单层卷绕卷筒的节圆直径应不</w:t>
      </w:r>
      <w:r>
        <w:rPr>
          <w:rFonts w:hint="eastAsia"/>
          <w:spacing w:val="-7"/>
          <w:sz w:val="24"/>
        </w:rPr>
        <w:t xml:space="preserve">小于钢丝绳直径的 </w:t>
      </w:r>
      <w:r>
        <w:rPr>
          <w:rFonts w:hint="eastAsia"/>
          <w:sz w:val="24"/>
        </w:rPr>
        <w:t>30</w:t>
      </w:r>
      <w:r>
        <w:rPr>
          <w:rFonts w:hint="eastAsia"/>
          <w:spacing w:val="-20"/>
          <w:sz w:val="24"/>
        </w:rPr>
        <w:t xml:space="preserve"> 倍。</w:t>
      </w:r>
    </w:p>
    <w:p>
      <w:pPr>
        <w:tabs>
          <w:tab w:val="left" w:pos="1601"/>
        </w:tabs>
        <w:spacing w:line="362" w:lineRule="auto"/>
        <w:ind w:left="1360" w:right="1265"/>
        <w:rPr>
          <w:sz w:val="24"/>
        </w:rPr>
      </w:pPr>
      <w:r>
        <w:rPr>
          <w:rFonts w:hint="eastAsia"/>
          <w:spacing w:val="-1"/>
          <w:sz w:val="24"/>
          <w:lang w:val="en-US"/>
        </w:rPr>
        <w:t>2）</w:t>
      </w:r>
      <w:r>
        <w:rPr>
          <w:rFonts w:hint="eastAsia"/>
          <w:spacing w:val="-1"/>
          <w:sz w:val="24"/>
        </w:rPr>
        <w:t>卷筒应用铸钢、优质灰铸铁或厚壁无缝钢管焊接并经精确机械加工而</w:t>
      </w:r>
      <w:r>
        <w:rPr>
          <w:rFonts w:hint="eastAsia"/>
          <w:sz w:val="24"/>
        </w:rPr>
        <w:t>成。绳槽的尺寸、间距应与所用钢绳规格相匹配并符合相应的规范。</w:t>
      </w:r>
    </w:p>
    <w:p>
      <w:pPr>
        <w:tabs>
          <w:tab w:val="left" w:pos="1721"/>
        </w:tabs>
        <w:spacing w:before="4" w:line="364" w:lineRule="auto"/>
        <w:ind w:left="1360" w:right="965"/>
        <w:rPr>
          <w:sz w:val="24"/>
        </w:rPr>
      </w:pPr>
      <w:r>
        <w:rPr>
          <w:rFonts w:hint="eastAsia"/>
          <w:spacing w:val="-4"/>
          <w:sz w:val="24"/>
          <w:lang w:val="en-US"/>
        </w:rPr>
        <w:t>3）</w:t>
      </w:r>
      <w:r>
        <w:rPr>
          <w:rFonts w:hint="eastAsia"/>
          <w:spacing w:val="-4"/>
          <w:sz w:val="24"/>
        </w:rPr>
        <w:t xml:space="preserve">钢丝绳与卷筒绳槽中心线的夹角应小于 </w:t>
      </w:r>
      <w:r>
        <w:rPr>
          <w:rFonts w:hint="eastAsia"/>
          <w:sz w:val="24"/>
        </w:rPr>
        <w:t>2.5°，</w:t>
      </w:r>
      <w:r>
        <w:rPr>
          <w:rFonts w:hint="eastAsia"/>
          <w:spacing w:val="-2"/>
          <w:sz w:val="24"/>
        </w:rPr>
        <w:t>不符合此规定的应设排</w:t>
      </w:r>
      <w:r>
        <w:rPr>
          <w:rFonts w:hint="eastAsia"/>
          <w:sz w:val="24"/>
        </w:rPr>
        <w:t>绳机构。</w:t>
      </w:r>
    </w:p>
    <w:p>
      <w:pPr>
        <w:tabs>
          <w:tab w:val="left" w:pos="1721"/>
        </w:tabs>
        <w:spacing w:line="364" w:lineRule="auto"/>
        <w:ind w:left="1360" w:right="905"/>
        <w:rPr>
          <w:sz w:val="24"/>
        </w:rPr>
      </w:pPr>
      <w:r>
        <w:rPr>
          <w:rFonts w:hint="eastAsia"/>
          <w:spacing w:val="-1"/>
          <w:sz w:val="24"/>
          <w:lang w:val="en-US"/>
        </w:rPr>
        <w:t>4）</w:t>
      </w:r>
      <w:r>
        <w:rPr>
          <w:rFonts w:hint="eastAsia"/>
          <w:spacing w:val="-1"/>
          <w:sz w:val="24"/>
        </w:rPr>
        <w:t>每一根缠绕在卷筒上钢丝绳应至少有两个固定圈，在卷筒一端或另一钢</w:t>
      </w:r>
      <w:r>
        <w:rPr>
          <w:rFonts w:hint="eastAsia"/>
          <w:sz w:val="24"/>
        </w:rPr>
        <w:t>丝绳起端应至少有两圈绳槽的间隙。钢丝绳的固定端应在卷筒上有可靠、有效的固定。</w:t>
      </w:r>
    </w:p>
    <w:p>
      <w:pPr>
        <w:tabs>
          <w:tab w:val="left" w:pos="1721"/>
        </w:tabs>
        <w:spacing w:line="362" w:lineRule="auto"/>
        <w:ind w:left="1360" w:right="905"/>
        <w:rPr>
          <w:sz w:val="24"/>
        </w:rPr>
      </w:pPr>
      <w:r>
        <w:rPr>
          <w:rFonts w:hint="eastAsia"/>
          <w:spacing w:val="-1"/>
          <w:sz w:val="24"/>
          <w:lang w:val="en-US"/>
        </w:rPr>
        <w:t>5）</w:t>
      </w:r>
      <w:r>
        <w:rPr>
          <w:rFonts w:hint="eastAsia"/>
          <w:spacing w:val="-1"/>
          <w:sz w:val="24"/>
        </w:rPr>
        <w:t>带槽卷筒组件应设置防止钢丝绳在负荷或松驰状态下跳槽的装置和跳槽</w:t>
      </w:r>
      <w:r>
        <w:rPr>
          <w:rFonts w:hint="eastAsia"/>
          <w:sz w:val="24"/>
        </w:rPr>
        <w:t>检测装置。</w:t>
      </w:r>
    </w:p>
    <w:p>
      <w:pPr>
        <w:pStyle w:val="9"/>
        <w:ind w:firstLine="482"/>
      </w:pPr>
      <w:r>
        <w:rPr>
          <w:rFonts w:hint="eastAsia"/>
        </w:rPr>
        <w:t>3、吊杆的滑轮</w:t>
      </w:r>
    </w:p>
    <w:p>
      <w:pPr>
        <w:tabs>
          <w:tab w:val="left" w:pos="1721"/>
        </w:tabs>
        <w:spacing w:before="158"/>
        <w:ind w:left="1360"/>
        <w:rPr>
          <w:sz w:val="24"/>
        </w:rPr>
      </w:pPr>
      <w:r>
        <w:rPr>
          <w:rFonts w:hint="eastAsia"/>
          <w:spacing w:val="-3"/>
          <w:sz w:val="24"/>
          <w:lang w:val="en-US"/>
        </w:rPr>
        <w:t>1）</w:t>
      </w:r>
      <w:r>
        <w:rPr>
          <w:rFonts w:hint="eastAsia"/>
          <w:spacing w:val="-3"/>
          <w:sz w:val="24"/>
        </w:rPr>
        <w:t xml:space="preserve">所有滑轮的节圆直径，不应小于绳索直径的 </w:t>
      </w:r>
      <w:r>
        <w:rPr>
          <w:rFonts w:hint="eastAsia"/>
          <w:sz w:val="24"/>
        </w:rPr>
        <w:t>25</w:t>
      </w:r>
      <w:r>
        <w:rPr>
          <w:rFonts w:hint="eastAsia"/>
          <w:spacing w:val="-8"/>
          <w:sz w:val="24"/>
        </w:rPr>
        <w:t xml:space="preserve"> 倍。在绳索转向小于</w:t>
      </w:r>
    </w:p>
    <w:p>
      <w:pPr>
        <w:spacing w:before="160"/>
        <w:ind w:left="880"/>
        <w:rPr>
          <w:sz w:val="24"/>
          <w:szCs w:val="24"/>
        </w:rPr>
      </w:pPr>
      <w:r>
        <w:rPr>
          <w:rFonts w:hint="eastAsia"/>
          <w:sz w:val="24"/>
          <w:szCs w:val="24"/>
        </w:rPr>
        <w:t>45°的滑轮上，节圆直径可不小于绳索直径的 20 倍。</w:t>
      </w:r>
    </w:p>
    <w:p>
      <w:pPr>
        <w:tabs>
          <w:tab w:val="left" w:pos="1721"/>
        </w:tabs>
        <w:spacing w:before="158" w:line="364" w:lineRule="auto"/>
        <w:ind w:left="1360" w:right="905"/>
        <w:rPr>
          <w:sz w:val="24"/>
        </w:rPr>
      </w:pPr>
      <w:r>
        <w:rPr>
          <w:rFonts w:hint="eastAsia"/>
          <w:spacing w:val="-1"/>
          <w:sz w:val="24"/>
          <w:lang w:val="en-US"/>
        </w:rPr>
        <w:t>2）</w:t>
      </w:r>
      <w:r>
        <w:rPr>
          <w:rFonts w:hint="eastAsia"/>
          <w:spacing w:val="-1"/>
          <w:sz w:val="24"/>
        </w:rPr>
        <w:t>滑轮需采用优质材料制造，通常用钢制造或根据载荷、用途、速度等条</w:t>
      </w:r>
      <w:r>
        <w:rPr>
          <w:rFonts w:hint="eastAsia"/>
          <w:sz w:val="24"/>
        </w:rPr>
        <w:t>件采用优质灰铸铁、或高强铸造尼龙及其它工程塑料制造。滑轮绳槽表面应进行精加工，绳槽尺寸、深度及张角应符合规范。</w:t>
      </w:r>
    </w:p>
    <w:p>
      <w:pPr>
        <w:tabs>
          <w:tab w:val="left" w:pos="1721"/>
        </w:tabs>
        <w:spacing w:line="307" w:lineRule="exact"/>
        <w:ind w:left="1360"/>
        <w:rPr>
          <w:sz w:val="24"/>
        </w:rPr>
      </w:pPr>
      <w:r>
        <w:rPr>
          <w:rFonts w:hint="eastAsia"/>
          <w:sz w:val="24"/>
          <w:lang w:val="en-US"/>
        </w:rPr>
        <w:t>3）</w:t>
      </w:r>
      <w:r>
        <w:rPr>
          <w:rFonts w:hint="eastAsia"/>
          <w:sz w:val="24"/>
        </w:rPr>
        <w:t>滑轮及滑轮组应采用滚动轴承支承。</w:t>
      </w:r>
    </w:p>
    <w:p>
      <w:pPr>
        <w:tabs>
          <w:tab w:val="left" w:pos="1721"/>
        </w:tabs>
        <w:spacing w:before="158"/>
        <w:ind w:left="1360"/>
        <w:rPr>
          <w:sz w:val="24"/>
        </w:rPr>
      </w:pPr>
      <w:r>
        <w:rPr>
          <w:rFonts w:hint="eastAsia"/>
          <w:sz w:val="24"/>
          <w:lang w:val="en-US"/>
        </w:rPr>
        <w:t>4）</w:t>
      </w:r>
      <w:r>
        <w:rPr>
          <w:rFonts w:hint="eastAsia"/>
          <w:sz w:val="24"/>
        </w:rPr>
        <w:t>滑轮及滑轮组应有防止钢丝绳脱槽的保护装置。</w:t>
      </w:r>
    </w:p>
    <w:p>
      <w:pPr>
        <w:tabs>
          <w:tab w:val="left" w:pos="1721"/>
        </w:tabs>
        <w:spacing w:before="161" w:line="362" w:lineRule="auto"/>
        <w:ind w:left="1360" w:right="905"/>
        <w:rPr>
          <w:sz w:val="24"/>
        </w:rPr>
      </w:pPr>
      <w:r>
        <w:rPr>
          <w:rFonts w:hint="eastAsia"/>
          <w:spacing w:val="-1"/>
          <w:sz w:val="24"/>
          <w:lang w:val="en-US"/>
        </w:rPr>
        <w:t>5）</w:t>
      </w:r>
      <w:r>
        <w:rPr>
          <w:rFonts w:hint="eastAsia"/>
          <w:spacing w:val="-1"/>
          <w:sz w:val="24"/>
        </w:rPr>
        <w:t>滑轮组应设计成在任何条件下都能正确安装并留有调整的可能性，这点</w:t>
      </w:r>
      <w:r>
        <w:rPr>
          <w:rFonts w:hint="eastAsia"/>
          <w:sz w:val="24"/>
        </w:rPr>
        <w:t>特别适用于转向滑轮。旋转转向装置应有将滑轮锁定于正确安装角的设施。</w:t>
      </w:r>
    </w:p>
    <w:p>
      <w:pPr>
        <w:tabs>
          <w:tab w:val="left" w:pos="1721"/>
        </w:tabs>
        <w:spacing w:before="5" w:line="364" w:lineRule="auto"/>
        <w:ind w:left="1360" w:right="905"/>
        <w:rPr>
          <w:sz w:val="24"/>
        </w:rPr>
      </w:pPr>
      <w:r>
        <w:rPr>
          <w:rFonts w:hint="eastAsia"/>
          <w:spacing w:val="-1"/>
          <w:sz w:val="24"/>
          <w:lang w:val="en-US"/>
        </w:rPr>
        <w:t>6）</w:t>
      </w:r>
      <w:r>
        <w:rPr>
          <w:rFonts w:hint="eastAsia"/>
          <w:spacing w:val="-1"/>
          <w:sz w:val="24"/>
        </w:rPr>
        <w:t>转向滑轮的相对位置应保证在任何情况下纲丝绳绕过转向滑轮的包角至</w:t>
      </w:r>
      <w:r>
        <w:rPr>
          <w:rFonts w:hint="eastAsia"/>
          <w:spacing w:val="-30"/>
          <w:sz w:val="24"/>
        </w:rPr>
        <w:t xml:space="preserve">少 </w:t>
      </w:r>
      <w:r>
        <w:rPr>
          <w:rFonts w:hint="eastAsia"/>
          <w:sz w:val="24"/>
        </w:rPr>
        <w:t>5°，滑轮由于钢丝绳的运动而旋转。</w:t>
      </w:r>
    </w:p>
    <w:p>
      <w:pPr>
        <w:tabs>
          <w:tab w:val="left" w:pos="1721"/>
        </w:tabs>
        <w:spacing w:before="43" w:line="364" w:lineRule="auto"/>
        <w:ind w:left="1360" w:right="965"/>
        <w:rPr>
          <w:sz w:val="24"/>
        </w:rPr>
      </w:pPr>
      <w:r>
        <w:rPr>
          <w:rFonts w:hint="eastAsia"/>
          <w:spacing w:val="-4"/>
          <w:sz w:val="24"/>
          <w:lang w:val="en-US"/>
        </w:rPr>
        <w:t>7）</w:t>
      </w:r>
      <w:r>
        <w:rPr>
          <w:rFonts w:hint="eastAsia"/>
          <w:spacing w:val="-4"/>
          <w:sz w:val="24"/>
        </w:rPr>
        <w:t xml:space="preserve">必须保证钢丝绳与滑轮的偏角不超过 </w:t>
      </w:r>
      <w:r>
        <w:rPr>
          <w:rFonts w:hint="eastAsia"/>
          <w:sz w:val="24"/>
        </w:rPr>
        <w:t>2.5°，</w:t>
      </w:r>
      <w:r>
        <w:rPr>
          <w:rFonts w:hint="eastAsia"/>
          <w:spacing w:val="-2"/>
          <w:sz w:val="24"/>
        </w:rPr>
        <w:t>并尽可能减少。钢丝绳到</w:t>
      </w:r>
      <w:r>
        <w:rPr>
          <w:rFonts w:hint="eastAsia"/>
          <w:sz w:val="24"/>
        </w:rPr>
        <w:t>滑轮的基准线在安装中应全部仔细检查。</w:t>
      </w:r>
    </w:p>
    <w:p>
      <w:pPr>
        <w:pStyle w:val="9"/>
        <w:ind w:firstLine="482"/>
      </w:pPr>
      <w:r>
        <w:rPr>
          <w:rFonts w:hint="eastAsia"/>
        </w:rPr>
        <w:t>4、钢丝绳</w:t>
      </w:r>
    </w:p>
    <w:p>
      <w:pPr>
        <w:tabs>
          <w:tab w:val="left" w:pos="1721"/>
        </w:tabs>
        <w:spacing w:before="160" w:line="364" w:lineRule="auto"/>
        <w:ind w:left="1360" w:right="905"/>
        <w:rPr>
          <w:sz w:val="24"/>
        </w:rPr>
      </w:pPr>
      <w:r>
        <w:rPr>
          <w:rFonts w:hint="eastAsia"/>
          <w:spacing w:val="-1"/>
          <w:sz w:val="24"/>
          <w:lang w:val="en-US"/>
        </w:rPr>
        <w:t>1）</w:t>
      </w:r>
      <w:r>
        <w:rPr>
          <w:rFonts w:hint="eastAsia"/>
          <w:spacing w:val="-1"/>
          <w:sz w:val="24"/>
        </w:rPr>
        <w:t>规格：悬吊钢丝绳应为带有人造纤维芯的软钢丝绳。所有钢丝绳都应按</w:t>
      </w:r>
      <w:r>
        <w:rPr>
          <w:rFonts w:hint="eastAsia"/>
          <w:sz w:val="24"/>
        </w:rPr>
        <w:t>预拉状态供货；所有钢丝绳都应用热浸法或类似工艺镀锌保护；所有的钢丝绳均应由国家重点厂商供货。</w:t>
      </w:r>
    </w:p>
    <w:p>
      <w:pPr>
        <w:tabs>
          <w:tab w:val="left" w:pos="1721"/>
        </w:tabs>
        <w:spacing w:line="364" w:lineRule="auto"/>
        <w:ind w:left="1360" w:right="905"/>
        <w:rPr>
          <w:sz w:val="24"/>
        </w:rPr>
      </w:pPr>
      <w:r>
        <w:rPr>
          <w:rFonts w:hint="eastAsia"/>
          <w:spacing w:val="-1"/>
          <w:sz w:val="24"/>
          <w:lang w:val="en-US"/>
        </w:rPr>
        <w:t>2）</w:t>
      </w:r>
      <w:r>
        <w:rPr>
          <w:rFonts w:hint="eastAsia"/>
          <w:spacing w:val="-1"/>
          <w:sz w:val="24"/>
        </w:rPr>
        <w:t xml:space="preserve">预先检验：所有的钢丝绳均应分批测试，供货时应明确标出预切长度， </w:t>
      </w:r>
      <w:r>
        <w:rPr>
          <w:rFonts w:hint="eastAsia"/>
          <w:sz w:val="24"/>
        </w:rPr>
        <w:t>并配有分批检验证明。</w:t>
      </w:r>
    </w:p>
    <w:p>
      <w:pPr>
        <w:tabs>
          <w:tab w:val="left" w:pos="1721"/>
        </w:tabs>
        <w:spacing w:line="362" w:lineRule="auto"/>
        <w:ind w:left="1360" w:right="1145"/>
        <w:rPr>
          <w:sz w:val="24"/>
        </w:rPr>
      </w:pPr>
      <w:r>
        <w:rPr>
          <w:rFonts w:hint="eastAsia"/>
          <w:spacing w:val="-1"/>
          <w:sz w:val="24"/>
          <w:lang w:val="en-US"/>
        </w:rPr>
        <w:t>3）</w:t>
      </w:r>
      <w:r>
        <w:rPr>
          <w:rFonts w:hint="eastAsia"/>
          <w:spacing w:val="-1"/>
          <w:sz w:val="24"/>
        </w:rPr>
        <w:t>现场处理：钢丝绳在安装期间应小心处理，不能以任何方式打结或损</w:t>
      </w:r>
      <w:r>
        <w:rPr>
          <w:rFonts w:hint="eastAsia"/>
          <w:sz w:val="24"/>
        </w:rPr>
        <w:t>坏。受损或变形的钢丝绳不予接收。所有切断头都应妥善处理。</w:t>
      </w:r>
    </w:p>
    <w:p>
      <w:pPr>
        <w:tabs>
          <w:tab w:val="left" w:pos="1721"/>
        </w:tabs>
        <w:spacing w:before="1" w:line="364" w:lineRule="auto"/>
        <w:ind w:left="1360" w:right="905"/>
        <w:rPr>
          <w:sz w:val="24"/>
        </w:rPr>
      </w:pPr>
      <w:r>
        <w:rPr>
          <w:rFonts w:hint="eastAsia"/>
          <w:spacing w:val="-1"/>
          <w:sz w:val="24"/>
          <w:lang w:val="en-US"/>
        </w:rPr>
        <w:t>4）</w:t>
      </w:r>
      <w:r>
        <w:rPr>
          <w:rFonts w:hint="eastAsia"/>
          <w:spacing w:val="-1"/>
          <w:sz w:val="24"/>
        </w:rPr>
        <w:t>安装：在设备的正常运转过程中，所有钢丝绳都不应与设备的固定或移</w:t>
      </w:r>
      <w:r>
        <w:rPr>
          <w:rFonts w:hint="eastAsia"/>
          <w:sz w:val="24"/>
        </w:rPr>
        <w:t>动部分摩擦。在有损坏或卡住风险的地方，应采取正确防护措施。用于悬吊或牵拉的活动钢丝绳必须防护好以保护人身安全。安装完成后，承包商应特别检查所有钢丝绳的接头，以确保安全、牢固。</w:t>
      </w:r>
    </w:p>
    <w:p>
      <w:pPr>
        <w:tabs>
          <w:tab w:val="left" w:pos="1721"/>
        </w:tabs>
        <w:spacing w:line="362" w:lineRule="auto"/>
        <w:ind w:left="1360" w:right="905"/>
        <w:rPr>
          <w:sz w:val="24"/>
        </w:rPr>
      </w:pPr>
      <w:r>
        <w:rPr>
          <w:rFonts w:hint="eastAsia"/>
          <w:spacing w:val="-1"/>
          <w:sz w:val="24"/>
          <w:lang w:val="en-US"/>
        </w:rPr>
        <w:t>5）</w:t>
      </w:r>
      <w:r>
        <w:rPr>
          <w:rFonts w:hint="eastAsia"/>
          <w:spacing w:val="-1"/>
          <w:sz w:val="24"/>
        </w:rPr>
        <w:t>悬挂支承：穿过顶楼的转向滑轮或拒其它需要悬挂支承的地方，钢丝绳</w:t>
      </w:r>
      <w:r>
        <w:rPr>
          <w:rFonts w:hint="eastAsia"/>
          <w:sz w:val="24"/>
        </w:rPr>
        <w:t>应在滑轮上进行支承。</w:t>
      </w:r>
    </w:p>
    <w:p>
      <w:pPr>
        <w:pStyle w:val="9"/>
        <w:ind w:firstLine="482"/>
      </w:pPr>
      <w:r>
        <w:rPr>
          <w:rFonts w:hint="eastAsia"/>
        </w:rPr>
        <w:t>5、钢丝绳配件</w:t>
      </w:r>
    </w:p>
    <w:p>
      <w:pPr>
        <w:tabs>
          <w:tab w:val="left" w:pos="1721"/>
        </w:tabs>
        <w:spacing w:before="158" w:line="364" w:lineRule="auto"/>
        <w:ind w:left="1360" w:right="905"/>
        <w:rPr>
          <w:sz w:val="24"/>
        </w:rPr>
      </w:pPr>
      <w:r>
        <w:rPr>
          <w:rFonts w:hint="eastAsia"/>
          <w:spacing w:val="-1"/>
          <w:sz w:val="24"/>
          <w:lang w:val="en-US"/>
        </w:rPr>
        <w:t>6）</w:t>
      </w:r>
      <w:r>
        <w:rPr>
          <w:rFonts w:hint="eastAsia"/>
          <w:spacing w:val="-1"/>
          <w:sz w:val="24"/>
        </w:rPr>
        <w:t>所有钢丝绳配件应采用表面镀锌的标准配件，并有载荷试验和质量合格</w:t>
      </w:r>
      <w:r>
        <w:rPr>
          <w:rFonts w:hint="eastAsia"/>
          <w:sz w:val="24"/>
        </w:rPr>
        <w:t>证书。</w:t>
      </w:r>
    </w:p>
    <w:p>
      <w:pPr>
        <w:tabs>
          <w:tab w:val="left" w:pos="1721"/>
        </w:tabs>
        <w:spacing w:line="306" w:lineRule="exact"/>
        <w:ind w:left="1360"/>
        <w:rPr>
          <w:sz w:val="24"/>
        </w:rPr>
      </w:pPr>
      <w:r>
        <w:rPr>
          <w:rFonts w:hint="eastAsia"/>
          <w:sz w:val="24"/>
          <w:lang w:val="en-US"/>
        </w:rPr>
        <w:t>7）</w:t>
      </w:r>
      <w:r>
        <w:rPr>
          <w:rFonts w:hint="eastAsia"/>
          <w:sz w:val="24"/>
        </w:rPr>
        <w:t>选用的钢丝绳配件，其规格尺寸与钢丝绳匹配。</w:t>
      </w:r>
    </w:p>
    <w:p>
      <w:pPr>
        <w:tabs>
          <w:tab w:val="left" w:pos="1721"/>
        </w:tabs>
        <w:spacing w:before="160" w:line="362" w:lineRule="auto"/>
        <w:ind w:left="1360" w:right="905"/>
        <w:rPr>
          <w:sz w:val="24"/>
        </w:rPr>
      </w:pPr>
      <w:r>
        <w:rPr>
          <w:rFonts w:hint="eastAsia"/>
          <w:spacing w:val="-4"/>
          <w:sz w:val="24"/>
          <w:lang w:val="en-US"/>
        </w:rPr>
        <w:t>8）</w:t>
      </w:r>
      <w:r>
        <w:rPr>
          <w:rFonts w:hint="eastAsia"/>
          <w:spacing w:val="-4"/>
          <w:sz w:val="24"/>
        </w:rPr>
        <w:t xml:space="preserve">使用钢丝绳夹的地方，每个接头至少使用 </w:t>
      </w:r>
      <w:r>
        <w:rPr>
          <w:rFonts w:hint="eastAsia"/>
          <w:sz w:val="24"/>
        </w:rPr>
        <w:t>3</w:t>
      </w:r>
      <w:r>
        <w:rPr>
          <w:rFonts w:hint="eastAsia"/>
          <w:spacing w:val="-9"/>
          <w:sz w:val="24"/>
        </w:rPr>
        <w:t xml:space="preserve"> 个正确安装的绳夹。使用螺</w:t>
      </w:r>
      <w:r>
        <w:rPr>
          <w:rFonts w:hint="eastAsia"/>
          <w:sz w:val="24"/>
        </w:rPr>
        <w:t>旋扣时一定将锁紧螺母锁紧。</w:t>
      </w:r>
    </w:p>
    <w:p>
      <w:pPr>
        <w:tabs>
          <w:tab w:val="left" w:pos="1721"/>
        </w:tabs>
        <w:spacing w:before="5" w:line="364" w:lineRule="auto"/>
        <w:ind w:left="1360" w:right="905"/>
        <w:rPr>
          <w:sz w:val="24"/>
        </w:rPr>
      </w:pPr>
      <w:r>
        <w:rPr>
          <w:rFonts w:hint="eastAsia"/>
          <w:spacing w:val="-1"/>
          <w:sz w:val="24"/>
          <w:lang w:val="en-US"/>
        </w:rPr>
        <w:t>9）</w:t>
      </w:r>
      <w:r>
        <w:rPr>
          <w:rFonts w:hint="eastAsia"/>
          <w:spacing w:val="-1"/>
          <w:sz w:val="24"/>
        </w:rPr>
        <w:t>重要的钢丝绳端部接头只能采用编织接头、楔形接头、合金压制接头或</w:t>
      </w:r>
      <w:r>
        <w:rPr>
          <w:rFonts w:hint="eastAsia"/>
          <w:sz w:val="24"/>
        </w:rPr>
        <w:t>合金浇注接头。</w:t>
      </w:r>
    </w:p>
    <w:p>
      <w:pPr>
        <w:pStyle w:val="9"/>
        <w:ind w:firstLine="482"/>
      </w:pPr>
      <w:r>
        <w:rPr>
          <w:rFonts w:hint="eastAsia"/>
        </w:rPr>
        <w:t>6、纤维绳</w:t>
      </w:r>
    </w:p>
    <w:p>
      <w:pPr>
        <w:ind w:firstLine="1440" w:firstLineChars="600"/>
        <w:rPr>
          <w:sz w:val="24"/>
          <w:szCs w:val="24"/>
        </w:rPr>
      </w:pPr>
      <w:r>
        <w:rPr>
          <w:rFonts w:hint="eastAsia"/>
          <w:sz w:val="24"/>
          <w:szCs w:val="24"/>
        </w:rPr>
        <w:t>一般用途的纤维绳应为一级天然麻制成品，绳具应与绳相匹配。</w:t>
      </w:r>
    </w:p>
    <w:p>
      <w:pPr>
        <w:pStyle w:val="8"/>
        <w:ind w:left="1320" w:firstLine="482"/>
      </w:pPr>
      <w:r>
        <w:rPr>
          <w:rFonts w:hint="eastAsia"/>
        </w:rPr>
        <w:t>7、吊杆杆体</w:t>
      </w:r>
    </w:p>
    <w:p>
      <w:pPr>
        <w:tabs>
          <w:tab w:val="left" w:pos="1601"/>
        </w:tabs>
        <w:spacing w:line="364" w:lineRule="auto"/>
        <w:ind w:left="1360" w:right="1025"/>
        <w:rPr>
          <w:sz w:val="24"/>
        </w:rPr>
      </w:pPr>
      <w:r>
        <w:rPr>
          <w:rFonts w:hint="eastAsia"/>
          <w:spacing w:val="-1"/>
          <w:sz w:val="24"/>
          <w:lang w:val="en-US"/>
        </w:rPr>
        <w:t>1）</w:t>
      </w:r>
      <w:r>
        <w:rPr>
          <w:rFonts w:hint="eastAsia"/>
          <w:spacing w:val="-1"/>
          <w:sz w:val="24"/>
        </w:rPr>
        <w:t>吊杆采用双圆管桁架杆，特殊使用场合也可用矩形管杆，管子或构架应</w:t>
      </w:r>
      <w:r>
        <w:rPr>
          <w:rFonts w:hint="eastAsia"/>
          <w:sz w:val="24"/>
        </w:rPr>
        <w:t>平直、无扭曲变形。</w:t>
      </w:r>
    </w:p>
    <w:p>
      <w:pPr>
        <w:tabs>
          <w:tab w:val="left" w:pos="1601"/>
        </w:tabs>
        <w:spacing w:before="43" w:line="364" w:lineRule="auto"/>
        <w:ind w:left="1360" w:right="965"/>
        <w:jc w:val="both"/>
        <w:rPr>
          <w:sz w:val="24"/>
        </w:rPr>
      </w:pPr>
      <w:r>
        <w:rPr>
          <w:rFonts w:hint="eastAsia"/>
          <w:sz w:val="24"/>
          <w:lang w:val="en-US"/>
        </w:rPr>
        <w:t>2）</w:t>
      </w:r>
      <w:r>
        <w:rPr>
          <w:rFonts w:hint="eastAsia"/>
          <w:sz w:val="24"/>
        </w:rPr>
        <w:t>管杆采用优质无缝钢管制造，但不得小于下列规格：双圆管桁架杆外径Ф50±2mm，</w:t>
      </w:r>
      <w:r>
        <w:rPr>
          <w:rFonts w:hint="eastAsia"/>
          <w:spacing w:val="-20"/>
          <w:sz w:val="24"/>
        </w:rPr>
        <w:t xml:space="preserve">壁厚 </w:t>
      </w:r>
      <w:r>
        <w:rPr>
          <w:rFonts w:hint="eastAsia"/>
          <w:sz w:val="24"/>
        </w:rPr>
        <w:t>3mm，</w:t>
      </w:r>
      <w:r>
        <w:rPr>
          <w:rFonts w:hint="eastAsia"/>
          <w:spacing w:val="-12"/>
          <w:sz w:val="24"/>
        </w:rPr>
        <w:t xml:space="preserve">中心距为 </w:t>
      </w:r>
      <w:r>
        <w:rPr>
          <w:rFonts w:hint="eastAsia"/>
          <w:sz w:val="24"/>
        </w:rPr>
        <w:t>300mm，</w:t>
      </w:r>
      <w:r>
        <w:rPr>
          <w:rFonts w:hint="eastAsia"/>
          <w:spacing w:val="-10"/>
          <w:sz w:val="24"/>
        </w:rPr>
        <w:t xml:space="preserve">支撑管间距 </w:t>
      </w:r>
      <w:r>
        <w:rPr>
          <w:rFonts w:hint="eastAsia"/>
          <w:sz w:val="24"/>
        </w:rPr>
        <w:t>1000mm</w:t>
      </w:r>
      <w:r>
        <w:rPr>
          <w:rFonts w:hint="eastAsia"/>
          <w:spacing w:val="-3"/>
          <w:sz w:val="24"/>
        </w:rPr>
        <w:t>。矩形管尺寸一般</w:t>
      </w:r>
      <w:r>
        <w:rPr>
          <w:rFonts w:hint="eastAsia"/>
          <w:sz w:val="24"/>
        </w:rPr>
        <w:t>为 50 × lOOmm</w:t>
      </w:r>
      <w:r>
        <w:rPr>
          <w:rFonts w:hint="eastAsia"/>
          <w:spacing w:val="-20"/>
          <w:sz w:val="24"/>
        </w:rPr>
        <w:t xml:space="preserve"> × </w:t>
      </w:r>
      <w:r>
        <w:rPr>
          <w:rFonts w:hint="eastAsia"/>
          <w:sz w:val="24"/>
        </w:rPr>
        <w:t>4mm.</w:t>
      </w:r>
    </w:p>
    <w:p>
      <w:pPr>
        <w:tabs>
          <w:tab w:val="left" w:pos="1601"/>
        </w:tabs>
        <w:spacing w:line="362" w:lineRule="auto"/>
        <w:ind w:left="1360" w:right="1025"/>
        <w:rPr>
          <w:sz w:val="24"/>
        </w:rPr>
      </w:pPr>
      <w:r>
        <w:rPr>
          <w:rFonts w:hint="eastAsia"/>
          <w:spacing w:val="-1"/>
          <w:sz w:val="24"/>
          <w:lang w:val="en-US"/>
        </w:rPr>
        <w:t>3）</w:t>
      </w:r>
      <w:r>
        <w:rPr>
          <w:rFonts w:hint="eastAsia"/>
          <w:spacing w:val="-1"/>
          <w:sz w:val="24"/>
        </w:rPr>
        <w:t>杆的接头应尽量少，接头采用实心圆棒与管子配合，管子端部开坡口的</w:t>
      </w:r>
      <w:r>
        <w:rPr>
          <w:rFonts w:hint="eastAsia"/>
          <w:sz w:val="24"/>
        </w:rPr>
        <w:t>焊接接头。</w:t>
      </w:r>
    </w:p>
    <w:p>
      <w:pPr>
        <w:tabs>
          <w:tab w:val="left" w:pos="1601"/>
        </w:tabs>
        <w:spacing w:before="4" w:line="362" w:lineRule="auto"/>
        <w:ind w:left="1360" w:right="1025"/>
        <w:rPr>
          <w:sz w:val="24"/>
        </w:rPr>
      </w:pPr>
      <w:r>
        <w:rPr>
          <w:rFonts w:hint="eastAsia"/>
          <w:spacing w:val="-1"/>
          <w:sz w:val="24"/>
          <w:lang w:val="en-US"/>
        </w:rPr>
        <w:t>4）</w:t>
      </w:r>
      <w:r>
        <w:rPr>
          <w:rFonts w:hint="eastAsia"/>
          <w:spacing w:val="-1"/>
          <w:sz w:val="24"/>
        </w:rPr>
        <w:t>悬吊钢丝绳的端头用单独安装于杆上的调节装置进行调整，以使管子水</w:t>
      </w:r>
      <w:r>
        <w:rPr>
          <w:rFonts w:hint="eastAsia"/>
          <w:sz w:val="24"/>
        </w:rPr>
        <w:t>平，受力均匀。</w:t>
      </w:r>
    </w:p>
    <w:p>
      <w:pPr>
        <w:tabs>
          <w:tab w:val="left" w:pos="1601"/>
        </w:tabs>
        <w:spacing w:before="5" w:line="364" w:lineRule="auto"/>
        <w:ind w:left="1360" w:right="1025"/>
        <w:rPr>
          <w:sz w:val="24"/>
        </w:rPr>
      </w:pPr>
      <w:r>
        <w:rPr>
          <w:rFonts w:hint="eastAsia"/>
          <w:spacing w:val="-1"/>
          <w:sz w:val="24"/>
          <w:lang w:val="en-US"/>
        </w:rPr>
        <w:t>5）</w:t>
      </w:r>
      <w:r>
        <w:rPr>
          <w:rFonts w:hint="eastAsia"/>
          <w:spacing w:val="-1"/>
          <w:sz w:val="24"/>
        </w:rPr>
        <w:t>伸缩管：在吊杆的两端，或在桁架吊杆的下部钢管上使用直径或截面合适，长度符合规定的伸缩管。伸缩管应能用标准扳手或调节器手动拉出并用螺</w:t>
      </w:r>
      <w:r>
        <w:rPr>
          <w:rFonts w:hint="eastAsia"/>
          <w:spacing w:val="-3"/>
          <w:sz w:val="24"/>
        </w:rPr>
        <w:t xml:space="preserve">栓卡在所在位置上。留在管内的长度不应少于伸出长度的 </w:t>
      </w:r>
      <w:r>
        <w:rPr>
          <w:rFonts w:hint="eastAsia"/>
          <w:sz w:val="24"/>
        </w:rPr>
        <w:t>1／3，并涂成大红色。</w:t>
      </w:r>
    </w:p>
    <w:p>
      <w:pPr>
        <w:spacing w:line="305" w:lineRule="exact"/>
        <w:ind w:left="1360"/>
        <w:rPr>
          <w:sz w:val="24"/>
          <w:szCs w:val="24"/>
        </w:rPr>
      </w:pPr>
      <w:r>
        <w:rPr>
          <w:rFonts w:hint="eastAsia"/>
          <w:sz w:val="24"/>
          <w:szCs w:val="24"/>
        </w:rPr>
        <w:t>6）管端：管端和伸缩管应配有带醒目颜色的永久性塑料帽。</w:t>
      </w:r>
    </w:p>
    <w:p>
      <w:pPr>
        <w:spacing w:before="161" w:line="364" w:lineRule="auto"/>
        <w:ind w:left="880" w:right="905" w:firstLine="480"/>
        <w:rPr>
          <w:sz w:val="24"/>
          <w:szCs w:val="24"/>
        </w:rPr>
      </w:pPr>
      <w:r>
        <w:rPr>
          <w:rFonts w:hint="eastAsia"/>
          <w:sz w:val="24"/>
          <w:szCs w:val="24"/>
        </w:rPr>
        <w:t>7）</w:t>
      </w:r>
      <w:r>
        <w:rPr>
          <w:rFonts w:hint="eastAsia"/>
          <w:spacing w:val="-3"/>
          <w:sz w:val="24"/>
          <w:szCs w:val="24"/>
        </w:rPr>
        <w:t xml:space="preserve">表面涂装：所有吊杆应涂成暗黑色，并在每一端的侧部用至少 </w:t>
      </w:r>
      <w:r>
        <w:rPr>
          <w:rFonts w:hint="eastAsia"/>
          <w:sz w:val="24"/>
          <w:szCs w:val="24"/>
        </w:rPr>
        <w:t>30mm</w:t>
      </w:r>
      <w:r>
        <w:rPr>
          <w:rFonts w:hint="eastAsia"/>
          <w:spacing w:val="-27"/>
          <w:sz w:val="24"/>
          <w:szCs w:val="24"/>
        </w:rPr>
        <w:t xml:space="preserve"> 高的</w:t>
      </w:r>
      <w:r>
        <w:rPr>
          <w:rFonts w:hint="eastAsia"/>
          <w:sz w:val="24"/>
          <w:szCs w:val="24"/>
        </w:rPr>
        <w:t>白漆数字标明号码。吊杆的工作重量极限也应在杆的每一端用稍小一些的字体</w:t>
      </w:r>
      <w:r>
        <w:rPr>
          <w:rFonts w:hint="eastAsia"/>
          <w:spacing w:val="-3"/>
          <w:sz w:val="24"/>
          <w:szCs w:val="24"/>
        </w:rPr>
        <w:t xml:space="preserve">标出。舞台的中心线应用双黄线标出，从中心线往外每 </w:t>
      </w:r>
      <w:r>
        <w:rPr>
          <w:rFonts w:hint="eastAsia"/>
          <w:sz w:val="24"/>
          <w:szCs w:val="24"/>
        </w:rPr>
        <w:t>1m</w:t>
      </w:r>
      <w:r>
        <w:rPr>
          <w:rFonts w:hint="eastAsia"/>
          <w:spacing w:val="-10"/>
          <w:sz w:val="24"/>
          <w:szCs w:val="24"/>
        </w:rPr>
        <w:t xml:space="preserve"> 处用单黄线标出。舞</w:t>
      </w:r>
      <w:r>
        <w:rPr>
          <w:rFonts w:hint="eastAsia"/>
          <w:sz w:val="24"/>
          <w:szCs w:val="24"/>
        </w:rPr>
        <w:t>台中心线应与舞台台口的中心线相符。</w:t>
      </w:r>
    </w:p>
    <w:p>
      <w:pPr>
        <w:pStyle w:val="8"/>
        <w:ind w:left="1320" w:firstLine="478"/>
        <w:rPr>
          <w:spacing w:val="-2"/>
        </w:rPr>
      </w:pPr>
      <w:bookmarkStart w:id="50" w:name="3.5_限位、定位、超程开关和安全开关"/>
      <w:bookmarkEnd w:id="50"/>
      <w:r>
        <w:rPr>
          <w:rFonts w:hint="eastAsia"/>
          <w:spacing w:val="-2"/>
          <w:lang w:val="en-US"/>
        </w:rPr>
        <w:t>8、</w:t>
      </w:r>
      <w:r>
        <w:rPr>
          <w:rFonts w:hint="eastAsia"/>
          <w:spacing w:val="-2"/>
        </w:rPr>
        <w:t>限位、定位、超程开关和安全开关</w:t>
      </w:r>
    </w:p>
    <w:p>
      <w:pPr>
        <w:pStyle w:val="9"/>
        <w:ind w:firstLine="482"/>
      </w:pPr>
      <w:r>
        <w:rPr>
          <w:rFonts w:hint="eastAsia"/>
        </w:rPr>
        <w:t>1、限位及定位开关</w:t>
      </w:r>
    </w:p>
    <w:p>
      <w:pPr>
        <w:tabs>
          <w:tab w:val="left" w:pos="1721"/>
        </w:tabs>
        <w:spacing w:before="2" w:line="362" w:lineRule="auto"/>
        <w:ind w:left="1360" w:right="905"/>
        <w:rPr>
          <w:sz w:val="24"/>
          <w:szCs w:val="24"/>
        </w:rPr>
      </w:pPr>
      <w:r>
        <w:rPr>
          <w:rFonts w:hint="eastAsia"/>
          <w:spacing w:val="-1"/>
          <w:sz w:val="24"/>
          <w:lang w:val="en-US"/>
        </w:rPr>
        <w:t>1）</w:t>
      </w:r>
      <w:r>
        <w:rPr>
          <w:rFonts w:hint="eastAsia"/>
          <w:spacing w:val="-1"/>
          <w:sz w:val="24"/>
        </w:rPr>
        <w:t>行程终止限位开关：行程终止限位开关应能测出设备正常行程终点并使</w:t>
      </w:r>
      <w:r>
        <w:rPr>
          <w:rFonts w:hint="eastAsia"/>
          <w:sz w:val="24"/>
        </w:rPr>
        <w:t>之停车。</w:t>
      </w:r>
      <w:r>
        <w:rPr>
          <w:rFonts w:hint="eastAsia"/>
          <w:sz w:val="24"/>
          <w:szCs w:val="24"/>
        </w:rPr>
        <w:t>一般来讲，行程终止限位器应为安装在传动装置上的专用产品或特制开</w:t>
      </w:r>
      <w:r>
        <w:rPr>
          <w:rFonts w:hint="eastAsia"/>
          <w:spacing w:val="-1"/>
          <w:sz w:val="24"/>
          <w:szCs w:val="24"/>
        </w:rPr>
        <w:t>关。如螺旋传动限位开关，这种开关由螺母拨动行程终止限位开关或中间定位</w:t>
      </w:r>
      <w:r>
        <w:rPr>
          <w:rFonts w:hint="eastAsia"/>
          <w:sz w:val="24"/>
          <w:szCs w:val="24"/>
        </w:rPr>
        <w:t>开关，螺杆的结构允许螺母在超行程时与螺杆脱离齿合。</w:t>
      </w:r>
    </w:p>
    <w:p>
      <w:pPr>
        <w:tabs>
          <w:tab w:val="left" w:pos="1721"/>
        </w:tabs>
        <w:spacing w:line="362" w:lineRule="auto"/>
        <w:ind w:left="1360" w:right="905"/>
        <w:rPr>
          <w:sz w:val="24"/>
        </w:rPr>
      </w:pPr>
      <w:r>
        <w:rPr>
          <w:rFonts w:hint="eastAsia"/>
          <w:spacing w:val="-1"/>
          <w:sz w:val="24"/>
          <w:lang w:val="en-US"/>
        </w:rPr>
        <w:t>2）</w:t>
      </w:r>
      <w:r>
        <w:rPr>
          <w:rFonts w:hint="eastAsia"/>
          <w:spacing w:val="-1"/>
          <w:sz w:val="24"/>
        </w:rPr>
        <w:t>限位开关和定位开关在任何负荷或速度下，从任何方向都应在规定范围</w:t>
      </w:r>
      <w:r>
        <w:rPr>
          <w:rFonts w:hint="eastAsia"/>
          <w:sz w:val="24"/>
        </w:rPr>
        <w:t>内以规定的精度重复操作。</w:t>
      </w:r>
    </w:p>
    <w:p>
      <w:pPr>
        <w:tabs>
          <w:tab w:val="left" w:pos="1721"/>
        </w:tabs>
        <w:spacing w:before="2" w:line="364" w:lineRule="auto"/>
        <w:ind w:left="1360" w:right="905"/>
        <w:rPr>
          <w:sz w:val="24"/>
          <w:szCs w:val="24"/>
        </w:rPr>
      </w:pPr>
      <w:r>
        <w:rPr>
          <w:rFonts w:hint="eastAsia"/>
          <w:spacing w:val="-1"/>
          <w:sz w:val="24"/>
          <w:lang w:val="en-US"/>
        </w:rPr>
        <w:t>3）</w:t>
      </w:r>
      <w:r>
        <w:rPr>
          <w:rFonts w:hint="eastAsia"/>
          <w:spacing w:val="-1"/>
          <w:sz w:val="24"/>
        </w:rPr>
        <w:t>中间定位开关：在合适的地方配置中间定位开关和减速开关，建议使用</w:t>
      </w:r>
      <w:r>
        <w:rPr>
          <w:rFonts w:hint="eastAsia"/>
          <w:sz w:val="24"/>
        </w:rPr>
        <w:t>的接近开关、电位器、光学或磁力编码应根据可靠性精确度选择。一般情况</w:t>
      </w:r>
      <w:r>
        <w:rPr>
          <w:rFonts w:hint="eastAsia"/>
          <w:sz w:val="24"/>
          <w:szCs w:val="24"/>
        </w:rPr>
        <w:t>下，定位距离小于 3mm 的定位开关应使用编码器和位置控制系统。</w:t>
      </w:r>
    </w:p>
    <w:p>
      <w:pPr>
        <w:tabs>
          <w:tab w:val="left" w:pos="1721"/>
        </w:tabs>
        <w:spacing w:before="43" w:line="364" w:lineRule="auto"/>
        <w:ind w:left="1360" w:right="905"/>
        <w:rPr>
          <w:sz w:val="24"/>
        </w:rPr>
      </w:pPr>
      <w:r>
        <w:rPr>
          <w:rFonts w:hint="eastAsia"/>
          <w:spacing w:val="-1"/>
          <w:sz w:val="24"/>
          <w:lang w:val="en-US"/>
        </w:rPr>
        <w:t>4）</w:t>
      </w:r>
      <w:r>
        <w:rPr>
          <w:rFonts w:hint="eastAsia"/>
          <w:spacing w:val="-1"/>
          <w:sz w:val="24"/>
        </w:rPr>
        <w:t>直接碰撞限位开关：行程终止限位开关也可选用直接碰撞限位开关，设</w:t>
      </w:r>
      <w:r>
        <w:rPr>
          <w:rFonts w:hint="eastAsia"/>
          <w:sz w:val="24"/>
        </w:rPr>
        <w:t>备运转应在所选开关允许的超程范围内，限位开关通常应在机械反向运行时重新自动设定。</w:t>
      </w:r>
    </w:p>
    <w:p>
      <w:pPr>
        <w:pStyle w:val="9"/>
        <w:ind w:firstLine="482"/>
      </w:pPr>
      <w:r>
        <w:rPr>
          <w:rFonts w:hint="eastAsia"/>
        </w:rPr>
        <w:t>2、超程限位</w:t>
      </w:r>
    </w:p>
    <w:p>
      <w:pPr>
        <w:spacing w:before="158" w:line="364" w:lineRule="auto"/>
        <w:ind w:left="880" w:right="1025" w:firstLine="480"/>
        <w:rPr>
          <w:sz w:val="24"/>
          <w:szCs w:val="24"/>
        </w:rPr>
      </w:pPr>
      <w:r>
        <w:rPr>
          <w:rFonts w:hint="eastAsia"/>
          <w:sz w:val="24"/>
          <w:szCs w:val="24"/>
        </w:rPr>
        <w:t>1）超程限位开关：所有电动设备都应安装单独的超程限位开关，以防行程终止限位开关发生故障量导致机械损伤。</w:t>
      </w:r>
    </w:p>
    <w:p>
      <w:pPr>
        <w:tabs>
          <w:tab w:val="left" w:pos="1721"/>
        </w:tabs>
        <w:spacing w:line="364" w:lineRule="auto"/>
        <w:ind w:left="1360" w:right="905"/>
        <w:rPr>
          <w:sz w:val="24"/>
          <w:szCs w:val="24"/>
        </w:rPr>
      </w:pPr>
      <w:r>
        <w:rPr>
          <w:rFonts w:hint="eastAsia"/>
          <w:spacing w:val="-1"/>
          <w:sz w:val="24"/>
          <w:lang w:val="en-US"/>
        </w:rPr>
        <w:t>2）</w:t>
      </w:r>
      <w:r>
        <w:rPr>
          <w:rFonts w:hint="eastAsia"/>
          <w:spacing w:val="-1"/>
          <w:sz w:val="24"/>
        </w:rPr>
        <w:t>超程限位开关类型：超程限位开关应为直碰式工业杠杆型，根据设备的</w:t>
      </w:r>
      <w:r>
        <w:rPr>
          <w:rFonts w:hint="eastAsia"/>
          <w:sz w:val="24"/>
        </w:rPr>
        <w:t>运行情况而工作，通常装设在远离传动装置的地方，在规定的超程内有效工</w:t>
      </w:r>
      <w:r>
        <w:rPr>
          <w:rFonts w:hint="eastAsia"/>
          <w:sz w:val="24"/>
          <w:szCs w:val="24"/>
        </w:rPr>
        <w:t>作。某些提升机或卷扬机系统上的超程限位开关也可由提升卷筒上钢绳的移动来操作。</w:t>
      </w:r>
    </w:p>
    <w:p>
      <w:pPr>
        <w:tabs>
          <w:tab w:val="left" w:pos="1721"/>
        </w:tabs>
        <w:spacing w:before="2" w:line="364" w:lineRule="auto"/>
        <w:ind w:left="1360" w:right="905"/>
        <w:rPr>
          <w:sz w:val="24"/>
        </w:rPr>
      </w:pPr>
      <w:r>
        <w:rPr>
          <w:rFonts w:hint="eastAsia"/>
          <w:spacing w:val="-1"/>
          <w:sz w:val="24"/>
          <w:lang w:val="en-US"/>
        </w:rPr>
        <w:t>3）</w:t>
      </w:r>
      <w:r>
        <w:rPr>
          <w:rFonts w:hint="eastAsia"/>
          <w:spacing w:val="-1"/>
          <w:sz w:val="24"/>
        </w:rPr>
        <w:t>操作：超程限位开关能切断主电源，直到正常行程终止开关重新设定，</w:t>
      </w:r>
      <w:r>
        <w:rPr>
          <w:rFonts w:hint="eastAsia"/>
          <w:sz w:val="24"/>
        </w:rPr>
        <w:t>电动机断电时，由超程电路控制的制动器应独立于其它传动控制电路。</w:t>
      </w:r>
    </w:p>
    <w:p>
      <w:pPr>
        <w:tabs>
          <w:tab w:val="left" w:pos="1721"/>
        </w:tabs>
        <w:spacing w:before="2" w:line="362" w:lineRule="auto"/>
        <w:ind w:left="1360" w:right="905"/>
        <w:rPr>
          <w:sz w:val="24"/>
        </w:rPr>
      </w:pPr>
      <w:r>
        <w:rPr>
          <w:rFonts w:hint="eastAsia"/>
          <w:spacing w:val="-1"/>
          <w:sz w:val="24"/>
          <w:lang w:val="en-US"/>
        </w:rPr>
        <w:t>4）</w:t>
      </w:r>
      <w:r>
        <w:rPr>
          <w:rFonts w:hint="eastAsia"/>
          <w:spacing w:val="-1"/>
          <w:sz w:val="24"/>
        </w:rPr>
        <w:t>超程距离：所有传动机械和导轨的设计应允许在超程限位开关启动后的</w:t>
      </w:r>
      <w:r>
        <w:rPr>
          <w:rFonts w:hint="eastAsia"/>
          <w:sz w:val="24"/>
        </w:rPr>
        <w:t>最坏条件下有足够的减速超程。</w:t>
      </w:r>
    </w:p>
    <w:p>
      <w:pPr>
        <w:pStyle w:val="9"/>
        <w:ind w:firstLine="482"/>
      </w:pPr>
      <w:r>
        <w:rPr>
          <w:rFonts w:hint="eastAsia"/>
        </w:rPr>
        <w:t>3、安全开关</w:t>
      </w:r>
    </w:p>
    <w:p>
      <w:pPr>
        <w:tabs>
          <w:tab w:val="left" w:pos="1721"/>
        </w:tabs>
        <w:spacing w:before="158" w:line="364" w:lineRule="auto"/>
        <w:ind w:left="1360" w:right="905"/>
        <w:rPr>
          <w:sz w:val="24"/>
        </w:rPr>
      </w:pPr>
      <w:r>
        <w:rPr>
          <w:rFonts w:hint="eastAsia"/>
          <w:spacing w:val="-1"/>
          <w:sz w:val="24"/>
          <w:lang w:val="en-US"/>
        </w:rPr>
        <w:t>1）</w:t>
      </w:r>
      <w:r>
        <w:rPr>
          <w:rFonts w:hint="eastAsia"/>
          <w:spacing w:val="-1"/>
          <w:sz w:val="24"/>
        </w:rPr>
        <w:t>用途：安全开关应安装在所有移动不见运行中会产生伤害的场所。设备</w:t>
      </w:r>
      <w:r>
        <w:rPr>
          <w:rFonts w:hint="eastAsia"/>
          <w:sz w:val="24"/>
        </w:rPr>
        <w:t>上的安全开关和制动装置应以其有效的工作确保对障碍物不构成任何伤害。所有安全开关带有故障保护功能，并串联相接。</w:t>
      </w:r>
    </w:p>
    <w:p>
      <w:pPr>
        <w:tabs>
          <w:tab w:val="left" w:pos="1721"/>
        </w:tabs>
        <w:spacing w:line="364" w:lineRule="auto"/>
        <w:ind w:left="1360" w:right="905"/>
        <w:jc w:val="both"/>
        <w:rPr>
          <w:sz w:val="24"/>
        </w:rPr>
      </w:pPr>
      <w:r>
        <w:rPr>
          <w:rFonts w:hint="eastAsia"/>
          <w:spacing w:val="-1"/>
          <w:sz w:val="24"/>
          <w:lang w:val="en-US"/>
        </w:rPr>
        <w:t>2）</w:t>
      </w:r>
      <w:r>
        <w:rPr>
          <w:rFonts w:hint="eastAsia"/>
          <w:spacing w:val="-1"/>
          <w:sz w:val="24"/>
        </w:rPr>
        <w:t>触发：安全开关应能在其一半动作行程内，使在额定负荷和速度条件下</w:t>
      </w:r>
      <w:r>
        <w:rPr>
          <w:rFonts w:hint="eastAsia"/>
          <w:spacing w:val="-4"/>
          <w:sz w:val="24"/>
        </w:rPr>
        <w:t xml:space="preserve">运动的设备停止。当障碍物的阻力达到 </w:t>
      </w:r>
      <w:r>
        <w:rPr>
          <w:rFonts w:hint="eastAsia"/>
          <w:sz w:val="24"/>
        </w:rPr>
        <w:t>2.5N</w:t>
      </w:r>
      <w:r>
        <w:rPr>
          <w:rFonts w:hint="eastAsia"/>
          <w:spacing w:val="-9"/>
          <w:sz w:val="24"/>
        </w:rPr>
        <w:t xml:space="preserve"> 时安全开关即被启动。安全开关应</w:t>
      </w:r>
      <w:r>
        <w:rPr>
          <w:rFonts w:hint="eastAsia"/>
          <w:sz w:val="24"/>
        </w:rPr>
        <w:t>为所有相关部件提供连续和不间断的保护。</w:t>
      </w:r>
    </w:p>
    <w:p>
      <w:pPr>
        <w:tabs>
          <w:tab w:val="left" w:pos="1721"/>
        </w:tabs>
        <w:spacing w:line="364" w:lineRule="auto"/>
        <w:ind w:left="1360" w:right="905"/>
        <w:rPr>
          <w:sz w:val="24"/>
        </w:rPr>
      </w:pPr>
      <w:r>
        <w:rPr>
          <w:rFonts w:hint="eastAsia"/>
          <w:spacing w:val="-1"/>
          <w:sz w:val="24"/>
          <w:lang w:val="en-US"/>
        </w:rPr>
        <w:t>3）</w:t>
      </w:r>
      <w:r>
        <w:rPr>
          <w:rFonts w:hint="eastAsia"/>
          <w:spacing w:val="-1"/>
          <w:sz w:val="24"/>
        </w:rPr>
        <w:t>运行：安全开关的运行应能防止设备对障碍物进一步冲击。可以在任何</w:t>
      </w:r>
      <w:r>
        <w:rPr>
          <w:rFonts w:hint="eastAsia"/>
          <w:sz w:val="24"/>
        </w:rPr>
        <w:t>操作台（盘）上进行释放障碍物的反向操作。</w:t>
      </w:r>
    </w:p>
    <w:p>
      <w:pPr>
        <w:tabs>
          <w:tab w:val="left" w:pos="1721"/>
        </w:tabs>
        <w:spacing w:line="362" w:lineRule="auto"/>
        <w:ind w:left="1360" w:right="905"/>
        <w:rPr>
          <w:sz w:val="24"/>
        </w:rPr>
      </w:pPr>
      <w:r>
        <w:rPr>
          <w:rFonts w:hint="eastAsia"/>
          <w:sz w:val="24"/>
          <w:lang w:val="en-US"/>
        </w:rPr>
        <w:t>4）</w:t>
      </w:r>
      <w:r>
        <w:rPr>
          <w:rFonts w:hint="eastAsia"/>
          <w:sz w:val="24"/>
        </w:rPr>
        <w:t>显示：安全开关只有在故障时启动，并显示在操作台（盘）</w:t>
      </w:r>
      <w:r>
        <w:rPr>
          <w:rFonts w:hint="eastAsia"/>
          <w:spacing w:val="-4"/>
          <w:sz w:val="24"/>
        </w:rPr>
        <w:t>上。应对所</w:t>
      </w:r>
      <w:r>
        <w:rPr>
          <w:rFonts w:hint="eastAsia"/>
          <w:sz w:val="24"/>
        </w:rPr>
        <w:t>有安全开关进行分区跟踪，并显示发生故障的位置。必要时可在操作台（盘） 上设复位按钮。</w:t>
      </w:r>
    </w:p>
    <w:p>
      <w:pPr>
        <w:pStyle w:val="8"/>
        <w:ind w:left="1320" w:firstLine="482"/>
      </w:pPr>
      <w:bookmarkStart w:id="51" w:name="3.6电动机"/>
      <w:bookmarkEnd w:id="51"/>
      <w:r>
        <w:rPr>
          <w:rFonts w:hint="eastAsia"/>
          <w:lang w:val="en-US"/>
        </w:rPr>
        <w:t>9、</w:t>
      </w:r>
      <w:r>
        <w:rPr>
          <w:rFonts w:hint="eastAsia"/>
        </w:rPr>
        <w:t>电动机</w:t>
      </w:r>
    </w:p>
    <w:p>
      <w:pPr>
        <w:tabs>
          <w:tab w:val="left" w:pos="1721"/>
        </w:tabs>
        <w:spacing w:before="159" w:line="364" w:lineRule="auto"/>
        <w:ind w:left="1360" w:right="905"/>
        <w:rPr>
          <w:sz w:val="24"/>
        </w:rPr>
      </w:pPr>
      <w:r>
        <w:rPr>
          <w:rFonts w:hint="eastAsia"/>
          <w:spacing w:val="-1"/>
          <w:sz w:val="24"/>
          <w:lang w:val="en-US"/>
        </w:rPr>
        <w:t>1）</w:t>
      </w:r>
      <w:r>
        <w:rPr>
          <w:rFonts w:hint="eastAsia"/>
          <w:spacing w:val="-1"/>
          <w:sz w:val="24"/>
        </w:rPr>
        <w:t>工作循环：舞台机械可按断续操作设定。每个工作环规定不在最重载荷</w:t>
      </w:r>
      <w:r>
        <w:rPr>
          <w:rFonts w:hint="eastAsia"/>
          <w:spacing w:val="-30"/>
          <w:sz w:val="24"/>
        </w:rPr>
        <w:t xml:space="preserve">下 </w:t>
      </w:r>
      <w:r>
        <w:rPr>
          <w:rFonts w:hint="eastAsia"/>
          <w:sz w:val="24"/>
        </w:rPr>
        <w:t>6</w:t>
      </w:r>
      <w:r>
        <w:rPr>
          <w:rFonts w:hint="eastAsia"/>
          <w:spacing w:val="-14"/>
          <w:sz w:val="24"/>
        </w:rPr>
        <w:t xml:space="preserve"> 次全行程动转并有 </w:t>
      </w:r>
      <w:r>
        <w:rPr>
          <w:rFonts w:hint="eastAsia"/>
          <w:sz w:val="24"/>
        </w:rPr>
        <w:t>15min</w:t>
      </w:r>
      <w:r>
        <w:rPr>
          <w:rFonts w:hint="eastAsia"/>
          <w:spacing w:val="-15"/>
          <w:sz w:val="24"/>
        </w:rPr>
        <w:t xml:space="preserve"> 停顿。</w:t>
      </w:r>
    </w:p>
    <w:p>
      <w:pPr>
        <w:tabs>
          <w:tab w:val="left" w:pos="1721"/>
        </w:tabs>
        <w:spacing w:before="43" w:line="364" w:lineRule="auto"/>
        <w:ind w:left="1360" w:right="905"/>
        <w:rPr>
          <w:sz w:val="24"/>
          <w:szCs w:val="24"/>
        </w:rPr>
      </w:pPr>
      <w:r>
        <w:rPr>
          <w:rFonts w:hint="eastAsia"/>
          <w:spacing w:val="-1"/>
          <w:sz w:val="24"/>
          <w:lang w:val="en-US"/>
        </w:rPr>
        <w:t>2）</w:t>
      </w:r>
      <w:r>
        <w:rPr>
          <w:rFonts w:hint="eastAsia"/>
          <w:spacing w:val="-1"/>
          <w:sz w:val="24"/>
        </w:rPr>
        <w:t>电动机型号：一般情况下舞台机械的传动装置，采用全封闭风扇风冷交</w:t>
      </w:r>
      <w:r>
        <w:rPr>
          <w:rFonts w:hint="eastAsia"/>
          <w:sz w:val="24"/>
        </w:rPr>
        <w:t>流电动机。</w:t>
      </w:r>
    </w:p>
    <w:p>
      <w:pPr>
        <w:pStyle w:val="8"/>
        <w:ind w:left="1320" w:firstLine="482"/>
      </w:pPr>
      <w:bookmarkStart w:id="52" w:name="3.7减速器"/>
      <w:bookmarkEnd w:id="52"/>
      <w:r>
        <w:rPr>
          <w:rFonts w:hint="eastAsia"/>
          <w:lang w:val="en-US"/>
        </w:rPr>
        <w:t>10、</w:t>
      </w:r>
      <w:r>
        <w:rPr>
          <w:rFonts w:hint="eastAsia"/>
        </w:rPr>
        <w:t>减速器</w:t>
      </w:r>
    </w:p>
    <w:p>
      <w:pPr>
        <w:tabs>
          <w:tab w:val="left" w:pos="1721"/>
        </w:tabs>
        <w:spacing w:before="158" w:line="360" w:lineRule="auto"/>
        <w:ind w:left="1360" w:right="905"/>
        <w:rPr>
          <w:sz w:val="24"/>
        </w:rPr>
      </w:pPr>
      <w:r>
        <w:rPr>
          <w:rFonts w:hint="eastAsia"/>
          <w:spacing w:val="-1"/>
          <w:sz w:val="24"/>
          <w:lang w:val="en-US"/>
        </w:rPr>
        <w:t>1）</w:t>
      </w:r>
      <w:r>
        <w:rPr>
          <w:rFonts w:hint="eastAsia"/>
          <w:spacing w:val="-1"/>
          <w:sz w:val="24"/>
        </w:rPr>
        <w:t>类型：减速器需为齿轮式。在设计传动装置时，应考虑减速器的效率及</w:t>
      </w:r>
      <w:r>
        <w:rPr>
          <w:rFonts w:hint="eastAsia"/>
          <w:sz w:val="24"/>
        </w:rPr>
        <w:t>启动时的效率变化。</w:t>
      </w:r>
    </w:p>
    <w:p>
      <w:pPr>
        <w:tabs>
          <w:tab w:val="left" w:pos="1721"/>
        </w:tabs>
        <w:spacing w:line="360" w:lineRule="auto"/>
        <w:ind w:left="1360"/>
        <w:rPr>
          <w:sz w:val="24"/>
        </w:rPr>
      </w:pPr>
      <w:r>
        <w:rPr>
          <w:rFonts w:hint="eastAsia"/>
          <w:sz w:val="24"/>
          <w:lang w:val="en-US"/>
        </w:rPr>
        <w:t>2）</w:t>
      </w:r>
      <w:r>
        <w:rPr>
          <w:rFonts w:hint="eastAsia"/>
          <w:sz w:val="24"/>
        </w:rPr>
        <w:t>额定值：传动装置应考虑安全传递所需的扭矩和功率并考虑冲击载荷。</w:t>
      </w:r>
    </w:p>
    <w:p>
      <w:pPr>
        <w:pStyle w:val="8"/>
        <w:ind w:left="1320" w:firstLine="482"/>
      </w:pPr>
      <w:bookmarkStart w:id="53" w:name="3.8制动器"/>
      <w:bookmarkEnd w:id="53"/>
      <w:r>
        <w:rPr>
          <w:rFonts w:hint="eastAsia"/>
          <w:lang w:val="en-US"/>
        </w:rPr>
        <w:t>11、</w:t>
      </w:r>
      <w:r>
        <w:rPr>
          <w:rFonts w:hint="eastAsia"/>
        </w:rPr>
        <w:t>制动器</w:t>
      </w:r>
    </w:p>
    <w:p>
      <w:pPr>
        <w:tabs>
          <w:tab w:val="left" w:pos="1721"/>
        </w:tabs>
        <w:spacing w:before="158" w:line="360" w:lineRule="auto"/>
        <w:ind w:left="1360" w:right="905"/>
        <w:rPr>
          <w:sz w:val="24"/>
        </w:rPr>
      </w:pPr>
      <w:r>
        <w:rPr>
          <w:rFonts w:hint="eastAsia"/>
          <w:spacing w:val="-1"/>
          <w:sz w:val="24"/>
          <w:lang w:val="en-US"/>
        </w:rPr>
        <w:t>1）</w:t>
      </w:r>
      <w:r>
        <w:rPr>
          <w:rFonts w:hint="eastAsia"/>
          <w:spacing w:val="-1"/>
          <w:sz w:val="24"/>
        </w:rPr>
        <w:t>原则：所有制动器都应是故障保护型的。当电源断电时，制动器因弹簧</w:t>
      </w:r>
      <w:r>
        <w:rPr>
          <w:rFonts w:hint="eastAsia"/>
          <w:sz w:val="24"/>
        </w:rPr>
        <w:t>压力的作用而抱紧。制动器应能在规定的时间内对最大负载进行安全减速，并使设备处于静止状态。</w:t>
      </w:r>
    </w:p>
    <w:p>
      <w:pPr>
        <w:tabs>
          <w:tab w:val="left" w:pos="1721"/>
        </w:tabs>
        <w:spacing w:line="362" w:lineRule="auto"/>
        <w:ind w:left="1360" w:right="905"/>
        <w:rPr>
          <w:sz w:val="24"/>
        </w:rPr>
      </w:pPr>
      <w:r>
        <w:rPr>
          <w:rFonts w:hint="eastAsia"/>
          <w:spacing w:val="-1"/>
          <w:sz w:val="24"/>
          <w:lang w:val="en-US"/>
        </w:rPr>
        <w:t>2）</w:t>
      </w:r>
      <w:r>
        <w:rPr>
          <w:rFonts w:hint="eastAsia"/>
          <w:spacing w:val="-1"/>
          <w:sz w:val="24"/>
        </w:rPr>
        <w:t>类型：制动器分；盘式的和鼓式的两种类型。应能在任何条件下高效运</w:t>
      </w:r>
      <w:r>
        <w:rPr>
          <w:rFonts w:hint="eastAsia"/>
          <w:sz w:val="24"/>
        </w:rPr>
        <w:t>行，其性能也不因振动和磨损而减弱。</w:t>
      </w:r>
    </w:p>
    <w:p>
      <w:pPr>
        <w:tabs>
          <w:tab w:val="left" w:pos="1721"/>
        </w:tabs>
        <w:spacing w:before="4" w:line="362" w:lineRule="auto"/>
        <w:ind w:left="1360" w:right="905"/>
        <w:rPr>
          <w:sz w:val="24"/>
        </w:rPr>
      </w:pPr>
      <w:r>
        <w:rPr>
          <w:rFonts w:hint="eastAsia"/>
          <w:spacing w:val="-1"/>
          <w:sz w:val="24"/>
          <w:lang w:val="en-US"/>
        </w:rPr>
        <w:t>3）</w:t>
      </w:r>
      <w:r>
        <w:rPr>
          <w:rFonts w:hint="eastAsia"/>
          <w:spacing w:val="-1"/>
          <w:sz w:val="24"/>
        </w:rPr>
        <w:t>制动器工作电源：为了减少噪声以及增加安全性，制动器的工作电源宜</w:t>
      </w:r>
      <w:r>
        <w:rPr>
          <w:rFonts w:hint="eastAsia"/>
          <w:sz w:val="24"/>
        </w:rPr>
        <w:t>采用直流电。</w:t>
      </w:r>
    </w:p>
    <w:p>
      <w:pPr>
        <w:spacing w:before="5" w:line="362" w:lineRule="auto"/>
        <w:ind w:left="880" w:right="1025" w:firstLine="480"/>
        <w:rPr>
          <w:sz w:val="24"/>
          <w:szCs w:val="24"/>
        </w:rPr>
      </w:pPr>
      <w:r>
        <w:rPr>
          <w:rFonts w:hint="eastAsia"/>
          <w:sz w:val="24"/>
          <w:szCs w:val="24"/>
        </w:rPr>
        <w:t>4)手动松闸：所有制动器应带有手动松开装置。在无自动显示装置时，应能容易识别制动器正处于松开状态。</w:t>
      </w:r>
    </w:p>
    <w:p>
      <w:pPr>
        <w:spacing w:before="5" w:line="362" w:lineRule="auto"/>
        <w:ind w:left="880" w:right="905" w:firstLine="480"/>
        <w:rPr>
          <w:sz w:val="24"/>
          <w:szCs w:val="24"/>
        </w:rPr>
      </w:pPr>
      <w:r>
        <w:rPr>
          <w:rFonts w:hint="eastAsia"/>
          <w:sz w:val="24"/>
          <w:szCs w:val="24"/>
        </w:rPr>
        <w:t>5）吊杆、灯杆卷扬机机构应设置双制动器，其中每一制动器可单独完成上述功能。</w:t>
      </w:r>
    </w:p>
    <w:p>
      <w:pPr>
        <w:pStyle w:val="8"/>
        <w:ind w:left="1320" w:firstLine="482"/>
      </w:pPr>
      <w:bookmarkStart w:id="54" w:name="3.10、噪声与振动"/>
      <w:bookmarkEnd w:id="54"/>
      <w:r>
        <w:rPr>
          <w:rFonts w:hint="eastAsia"/>
          <w:lang w:val="en-US"/>
        </w:rPr>
        <w:t>12、</w:t>
      </w:r>
      <w:r>
        <w:rPr>
          <w:rFonts w:hint="eastAsia"/>
        </w:rPr>
        <w:t>噪声与振动</w:t>
      </w:r>
    </w:p>
    <w:p>
      <w:pPr>
        <w:tabs>
          <w:tab w:val="left" w:pos="1961"/>
        </w:tabs>
        <w:spacing w:before="158" w:line="364" w:lineRule="auto"/>
        <w:ind w:left="1360" w:right="905"/>
        <w:rPr>
          <w:sz w:val="24"/>
        </w:rPr>
      </w:pPr>
      <w:r>
        <w:rPr>
          <w:rFonts w:hint="eastAsia"/>
          <w:spacing w:val="-1"/>
          <w:sz w:val="24"/>
          <w:lang w:val="en-US"/>
        </w:rPr>
        <w:t>1）</w:t>
      </w:r>
      <w:r>
        <w:rPr>
          <w:rFonts w:hint="eastAsia"/>
          <w:spacing w:val="-1"/>
          <w:sz w:val="24"/>
        </w:rPr>
        <w:t xml:space="preserve">所有机械设备的设计应对噪声给以足够的重视，并采取适当的措施， </w:t>
      </w:r>
      <w:r>
        <w:rPr>
          <w:rFonts w:hint="eastAsia"/>
          <w:sz w:val="24"/>
        </w:rPr>
        <w:t>降低机械噪声。所有参与表演的机械（即在演出过程中运转的机械）均应采用低噪声电动机，高精度减速器和高精度运动部件。</w:t>
      </w:r>
    </w:p>
    <w:p>
      <w:pPr>
        <w:tabs>
          <w:tab w:val="left" w:pos="1961"/>
        </w:tabs>
        <w:spacing w:line="364" w:lineRule="auto"/>
        <w:ind w:left="1360" w:right="905"/>
        <w:rPr>
          <w:sz w:val="24"/>
        </w:rPr>
      </w:pPr>
      <w:r>
        <w:rPr>
          <w:rFonts w:hint="eastAsia"/>
          <w:spacing w:val="-1"/>
          <w:sz w:val="24"/>
          <w:lang w:val="en-US"/>
        </w:rPr>
        <w:t>2）</w:t>
      </w:r>
      <w:r>
        <w:rPr>
          <w:rFonts w:hint="eastAsia"/>
          <w:spacing w:val="-1"/>
          <w:sz w:val="24"/>
        </w:rPr>
        <w:t>承包商应采取必要措施防止噪声传播和固体传声，确保噪声控制在技</w:t>
      </w:r>
      <w:r>
        <w:rPr>
          <w:rFonts w:hint="eastAsia"/>
          <w:sz w:val="24"/>
        </w:rPr>
        <w:t>术要求中规定的最大噪声值以下。在需要使用隔声设施时，保证这些隔声设施不会造成设备过热或其它问题。</w:t>
      </w:r>
    </w:p>
    <w:p>
      <w:pPr>
        <w:tabs>
          <w:tab w:val="left" w:pos="1961"/>
        </w:tabs>
        <w:spacing w:line="305" w:lineRule="exact"/>
        <w:ind w:left="1360"/>
        <w:rPr>
          <w:sz w:val="24"/>
        </w:rPr>
      </w:pPr>
      <w:r>
        <w:rPr>
          <w:rFonts w:hint="eastAsia"/>
          <w:spacing w:val="-3"/>
          <w:sz w:val="24"/>
          <w:lang w:val="en-US"/>
        </w:rPr>
        <w:t>3）</w:t>
      </w:r>
      <w:r>
        <w:rPr>
          <w:rFonts w:hint="eastAsia"/>
          <w:spacing w:val="-3"/>
          <w:sz w:val="24"/>
        </w:rPr>
        <w:t xml:space="preserve">基本噪声等级：设备运行造成的噪声在距设备 </w:t>
      </w:r>
      <w:r>
        <w:rPr>
          <w:rFonts w:hint="eastAsia"/>
          <w:sz w:val="24"/>
        </w:rPr>
        <w:t>1</w:t>
      </w:r>
      <w:r>
        <w:rPr>
          <w:rFonts w:hint="eastAsia"/>
          <w:spacing w:val="-18"/>
          <w:sz w:val="24"/>
        </w:rPr>
        <w:t xml:space="preserve"> 米处不大于 </w:t>
      </w:r>
      <w:r>
        <w:rPr>
          <w:rFonts w:hint="eastAsia"/>
          <w:sz w:val="24"/>
        </w:rPr>
        <w:t>60db.</w:t>
      </w:r>
    </w:p>
    <w:p>
      <w:pPr>
        <w:tabs>
          <w:tab w:val="left" w:pos="1961"/>
        </w:tabs>
        <w:spacing w:before="43" w:line="364" w:lineRule="auto"/>
        <w:ind w:left="1360" w:right="1025"/>
        <w:jc w:val="both"/>
        <w:rPr>
          <w:sz w:val="24"/>
        </w:rPr>
      </w:pPr>
      <w:r>
        <w:rPr>
          <w:rFonts w:hint="eastAsia"/>
          <w:spacing w:val="-3"/>
          <w:sz w:val="24"/>
          <w:lang w:val="en-US"/>
        </w:rPr>
        <w:t>4）</w:t>
      </w:r>
      <w:r>
        <w:rPr>
          <w:rFonts w:hint="eastAsia"/>
          <w:spacing w:val="-3"/>
          <w:sz w:val="24"/>
        </w:rPr>
        <w:t xml:space="preserve">单台设备除满足上述条件外还应满足现场的噪声不大于 </w:t>
      </w:r>
      <w:r>
        <w:rPr>
          <w:rFonts w:hint="eastAsia"/>
          <w:sz w:val="24"/>
        </w:rPr>
        <w:t>40db。测试条件为：观众厅及舞台均须空场，侧舞台及后台（如果有）</w:t>
      </w:r>
      <w:r>
        <w:rPr>
          <w:rFonts w:hint="eastAsia"/>
          <w:spacing w:val="-3"/>
          <w:sz w:val="24"/>
        </w:rPr>
        <w:t xml:space="preserve">关闭，大幕开启， </w:t>
      </w:r>
      <w:r>
        <w:rPr>
          <w:rFonts w:hint="eastAsia"/>
          <w:spacing w:val="-6"/>
          <w:sz w:val="24"/>
        </w:rPr>
        <w:t xml:space="preserve">在观众厅第一排中部 </w:t>
      </w:r>
      <w:r>
        <w:rPr>
          <w:rFonts w:hint="eastAsia"/>
          <w:sz w:val="24"/>
        </w:rPr>
        <w:t>1.5m</w:t>
      </w:r>
      <w:r>
        <w:rPr>
          <w:rFonts w:hint="eastAsia"/>
          <w:spacing w:val="-11"/>
          <w:sz w:val="24"/>
        </w:rPr>
        <w:t xml:space="preserve"> 高处进行测量，环境背景噪声不大于 </w:t>
      </w:r>
      <w:r>
        <w:rPr>
          <w:rFonts w:hint="eastAsia"/>
          <w:sz w:val="24"/>
        </w:rPr>
        <w:t>50db。</w:t>
      </w:r>
    </w:p>
    <w:p>
      <w:pPr>
        <w:tabs>
          <w:tab w:val="left" w:pos="1961"/>
        </w:tabs>
        <w:spacing w:line="307" w:lineRule="exact"/>
        <w:ind w:left="1360"/>
        <w:rPr>
          <w:sz w:val="24"/>
        </w:rPr>
      </w:pPr>
      <w:r>
        <w:rPr>
          <w:rFonts w:hint="eastAsia"/>
          <w:sz w:val="24"/>
          <w:lang w:val="en-US"/>
        </w:rPr>
        <w:t>5）</w:t>
      </w:r>
      <w:r>
        <w:rPr>
          <w:rFonts w:hint="eastAsia"/>
          <w:sz w:val="24"/>
        </w:rPr>
        <w:t>噪声的测试方法，原则上按有关标准规定方法进行。</w:t>
      </w:r>
    </w:p>
    <w:p>
      <w:pPr>
        <w:tabs>
          <w:tab w:val="left" w:pos="1961"/>
        </w:tabs>
        <w:spacing w:before="158" w:line="364" w:lineRule="auto"/>
        <w:ind w:left="1360" w:right="905"/>
        <w:rPr>
          <w:sz w:val="24"/>
        </w:rPr>
      </w:pPr>
      <w:r>
        <w:rPr>
          <w:rFonts w:hint="eastAsia"/>
          <w:spacing w:val="-1"/>
          <w:sz w:val="24"/>
          <w:lang w:val="en-US"/>
        </w:rPr>
        <w:t>6）</w:t>
      </w:r>
      <w:r>
        <w:rPr>
          <w:rFonts w:hint="eastAsia"/>
          <w:spacing w:val="-1"/>
          <w:sz w:val="24"/>
        </w:rPr>
        <w:t>振动：所有设备运转时不应有过分的振动，所有部件都应配有防震联</w:t>
      </w:r>
      <w:r>
        <w:rPr>
          <w:rFonts w:hint="eastAsia"/>
          <w:sz w:val="24"/>
        </w:rPr>
        <w:t>接，所有联结都应配有防震垫片、尼龙螺母或类似产品。有振动倾向的设备与基础之间应采用减振或隔振措施。</w:t>
      </w:r>
    </w:p>
    <w:p>
      <w:pPr>
        <w:pStyle w:val="7"/>
        <w:rPr>
          <w:szCs w:val="22"/>
        </w:rPr>
      </w:pPr>
      <w:bookmarkStart w:id="55" w:name="3.11、电气设备"/>
      <w:bookmarkEnd w:id="55"/>
      <w:r>
        <w:rPr>
          <w:rFonts w:hint="eastAsia"/>
          <w:szCs w:val="22"/>
          <w:lang w:val="en-US"/>
        </w:rPr>
        <w:t>3.3</w:t>
      </w:r>
      <w:r>
        <w:rPr>
          <w:rFonts w:hint="eastAsia"/>
          <w:szCs w:val="22"/>
        </w:rPr>
        <w:t>、电气设备</w:t>
      </w:r>
    </w:p>
    <w:p>
      <w:pPr>
        <w:pStyle w:val="8"/>
        <w:ind w:left="1320" w:firstLine="482"/>
      </w:pPr>
      <w:bookmarkStart w:id="56" w:name="3.11.1_电源"/>
      <w:bookmarkEnd w:id="56"/>
      <w:r>
        <w:rPr>
          <w:rFonts w:hint="eastAsia"/>
          <w:lang w:val="en-US"/>
        </w:rPr>
        <w:t>1、</w:t>
      </w:r>
      <w:r>
        <w:rPr>
          <w:rFonts w:hint="eastAsia"/>
        </w:rPr>
        <w:t>电源</w:t>
      </w:r>
    </w:p>
    <w:p>
      <w:pPr>
        <w:spacing w:before="158" w:line="360" w:lineRule="auto"/>
        <w:ind w:left="880" w:right="965" w:firstLine="480"/>
        <w:rPr>
          <w:sz w:val="24"/>
          <w:szCs w:val="24"/>
        </w:rPr>
      </w:pPr>
      <w:r>
        <w:rPr>
          <w:rFonts w:hint="eastAsia"/>
          <w:spacing w:val="-3"/>
          <w:sz w:val="24"/>
          <w:szCs w:val="24"/>
          <w:lang w:val="en-US"/>
        </w:rPr>
        <w:t>1）</w:t>
      </w:r>
      <w:r>
        <w:rPr>
          <w:rFonts w:hint="eastAsia"/>
          <w:spacing w:val="-3"/>
          <w:sz w:val="24"/>
          <w:szCs w:val="24"/>
        </w:rPr>
        <w:t xml:space="preserve">舞台机械设备供电电源为 </w:t>
      </w:r>
      <w:r>
        <w:rPr>
          <w:rFonts w:hint="eastAsia"/>
          <w:sz w:val="24"/>
          <w:szCs w:val="24"/>
        </w:rPr>
        <w:t>50HZ，</w:t>
      </w:r>
      <w:r>
        <w:rPr>
          <w:rFonts w:hint="eastAsia"/>
          <w:spacing w:val="-9"/>
          <w:sz w:val="24"/>
          <w:szCs w:val="24"/>
        </w:rPr>
        <w:t xml:space="preserve">三相 </w:t>
      </w:r>
      <w:r>
        <w:rPr>
          <w:rFonts w:hint="eastAsia"/>
          <w:sz w:val="24"/>
          <w:szCs w:val="24"/>
        </w:rPr>
        <w:t>380VAC，电压波动范围为-15%~+10%</w:t>
      </w:r>
      <w:r>
        <w:rPr>
          <w:rFonts w:hint="eastAsia"/>
          <w:spacing w:val="-3"/>
          <w:sz w:val="24"/>
          <w:szCs w:val="24"/>
        </w:rPr>
        <w:t xml:space="preserve">。电源引自分区配电室，电源变压器的接线方式 </w:t>
      </w:r>
      <w:r>
        <w:rPr>
          <w:rFonts w:hint="eastAsia"/>
          <w:sz w:val="24"/>
          <w:szCs w:val="24"/>
        </w:rPr>
        <w:t>D.yn11</w:t>
      </w:r>
      <w:r>
        <w:rPr>
          <w:rFonts w:hint="eastAsia"/>
          <w:spacing w:val="-4"/>
          <w:sz w:val="24"/>
          <w:szCs w:val="24"/>
        </w:rPr>
        <w:t>。对承包商的</w:t>
      </w:r>
      <w:r>
        <w:rPr>
          <w:rFonts w:hint="eastAsia"/>
          <w:sz w:val="24"/>
          <w:szCs w:val="24"/>
        </w:rPr>
        <w:t>要求如下：</w:t>
      </w:r>
    </w:p>
    <w:p>
      <w:pPr>
        <w:tabs>
          <w:tab w:val="left" w:pos="1961"/>
        </w:tabs>
        <w:spacing w:line="360" w:lineRule="auto"/>
        <w:ind w:left="1360" w:right="1025"/>
        <w:rPr>
          <w:sz w:val="24"/>
        </w:rPr>
      </w:pPr>
      <w:r>
        <w:rPr>
          <w:rFonts w:hint="eastAsia"/>
          <w:spacing w:val="-8"/>
          <w:sz w:val="24"/>
          <w:lang w:val="en-US"/>
        </w:rPr>
        <w:t>2）</w:t>
      </w:r>
      <w:r>
        <w:rPr>
          <w:rFonts w:hint="eastAsia"/>
          <w:spacing w:val="-8"/>
          <w:sz w:val="24"/>
        </w:rPr>
        <w:t xml:space="preserve">舞台机械设备的 </w:t>
      </w:r>
      <w:r>
        <w:rPr>
          <w:rFonts w:hint="eastAsia"/>
          <w:sz w:val="24"/>
        </w:rPr>
        <w:t>380VAC/220VAC</w:t>
      </w:r>
      <w:r>
        <w:rPr>
          <w:rFonts w:hint="eastAsia"/>
          <w:spacing w:val="-16"/>
          <w:sz w:val="24"/>
        </w:rPr>
        <w:t xml:space="preserve"> 级配电系统为 </w:t>
      </w:r>
      <w:r>
        <w:rPr>
          <w:rFonts w:hint="eastAsia"/>
          <w:sz w:val="24"/>
        </w:rPr>
        <w:t>TN-S</w:t>
      </w:r>
      <w:r>
        <w:rPr>
          <w:rFonts w:hint="eastAsia"/>
          <w:spacing w:val="-20"/>
          <w:sz w:val="24"/>
        </w:rPr>
        <w:t xml:space="preserve"> 系统</w:t>
      </w:r>
      <w:r>
        <w:rPr>
          <w:rFonts w:hint="eastAsia"/>
          <w:sz w:val="24"/>
        </w:rPr>
        <w:t>（N</w:t>
      </w:r>
      <w:r>
        <w:rPr>
          <w:rFonts w:hint="eastAsia"/>
          <w:spacing w:val="-30"/>
          <w:sz w:val="24"/>
        </w:rPr>
        <w:t xml:space="preserve"> 线和 </w:t>
      </w:r>
      <w:r>
        <w:rPr>
          <w:rFonts w:hint="eastAsia"/>
          <w:spacing w:val="-10"/>
          <w:sz w:val="24"/>
        </w:rPr>
        <w:t xml:space="preserve">PE </w:t>
      </w:r>
      <w:r>
        <w:rPr>
          <w:rFonts w:hint="eastAsia"/>
          <w:sz w:val="24"/>
        </w:rPr>
        <w:t>线分开）并有漏电保护功能。</w:t>
      </w:r>
    </w:p>
    <w:p>
      <w:pPr>
        <w:tabs>
          <w:tab w:val="left" w:pos="1961"/>
        </w:tabs>
        <w:spacing w:before="5" w:line="364" w:lineRule="auto"/>
        <w:ind w:left="1360" w:right="1025"/>
        <w:rPr>
          <w:sz w:val="24"/>
        </w:rPr>
      </w:pPr>
      <w:r>
        <w:rPr>
          <w:rFonts w:hint="eastAsia"/>
          <w:sz w:val="24"/>
          <w:lang w:val="en-US"/>
        </w:rPr>
        <w:t>3）</w:t>
      </w:r>
      <w:r>
        <w:rPr>
          <w:rFonts w:hint="eastAsia"/>
          <w:sz w:val="24"/>
        </w:rPr>
        <w:t>控制系统应设在线式不间断电源（UPS）供电。当主电源出现故障 时，UPS</w:t>
      </w:r>
      <w:r>
        <w:rPr>
          <w:rFonts w:hint="eastAsia"/>
          <w:spacing w:val="-8"/>
          <w:sz w:val="24"/>
        </w:rPr>
        <w:t xml:space="preserve"> 可以向控制系统供电；当主电源恢复时控制系统应自动由恢复后的主电源供电。UPS</w:t>
      </w:r>
      <w:r>
        <w:rPr>
          <w:rFonts w:hint="eastAsia"/>
          <w:spacing w:val="-12"/>
          <w:sz w:val="24"/>
        </w:rPr>
        <w:t xml:space="preserve"> 的容量应满足控制系统运行 </w:t>
      </w:r>
      <w:r>
        <w:rPr>
          <w:rFonts w:hint="eastAsia"/>
          <w:sz w:val="24"/>
        </w:rPr>
        <w:t>30</w:t>
      </w:r>
      <w:r>
        <w:rPr>
          <w:rFonts w:hint="eastAsia"/>
          <w:spacing w:val="-15"/>
          <w:sz w:val="24"/>
        </w:rPr>
        <w:t xml:space="preserve"> 分钟。</w:t>
      </w:r>
      <w:r>
        <w:rPr>
          <w:rFonts w:hint="eastAsia"/>
          <w:sz w:val="24"/>
        </w:rPr>
        <w:t>UPS</w:t>
      </w:r>
      <w:r>
        <w:rPr>
          <w:rFonts w:hint="eastAsia"/>
          <w:spacing w:val="-10"/>
          <w:sz w:val="24"/>
        </w:rPr>
        <w:t xml:space="preserve"> 装置应有故障显示、</w:t>
      </w:r>
      <w:r>
        <w:rPr>
          <w:rFonts w:hint="eastAsia"/>
          <w:spacing w:val="-4"/>
          <w:sz w:val="24"/>
        </w:rPr>
        <w:t xml:space="preserve">报警、故障诊断和保护措施。当 </w:t>
      </w:r>
      <w:r>
        <w:rPr>
          <w:rFonts w:hint="eastAsia"/>
          <w:sz w:val="24"/>
        </w:rPr>
        <w:t>UPS</w:t>
      </w:r>
      <w:r>
        <w:rPr>
          <w:rFonts w:hint="eastAsia"/>
          <w:spacing w:val="-9"/>
          <w:sz w:val="24"/>
        </w:rPr>
        <w:t xml:space="preserve"> 电源不足以维持控制系统正常运行之前，</w:t>
      </w:r>
      <w:r>
        <w:rPr>
          <w:rFonts w:hint="eastAsia"/>
          <w:sz w:val="24"/>
        </w:rPr>
        <w:t>系统应按适当的顺序关闭。</w:t>
      </w:r>
    </w:p>
    <w:p>
      <w:pPr>
        <w:tabs>
          <w:tab w:val="left" w:pos="1961"/>
        </w:tabs>
        <w:spacing w:line="360" w:lineRule="auto"/>
        <w:ind w:left="1360" w:right="2345"/>
        <w:rPr>
          <w:sz w:val="24"/>
        </w:rPr>
      </w:pPr>
      <w:r>
        <w:rPr>
          <w:rFonts w:hint="eastAsia"/>
          <w:spacing w:val="-1"/>
          <w:sz w:val="24"/>
          <w:lang w:val="en-US"/>
        </w:rPr>
        <w:t>4）</w:t>
      </w:r>
      <w:r>
        <w:rPr>
          <w:rFonts w:hint="eastAsia"/>
          <w:spacing w:val="-1"/>
          <w:sz w:val="24"/>
        </w:rPr>
        <w:t>应在适当位置设置舞台设备使用的临时电源和检修电源</w:t>
      </w:r>
      <w:r>
        <w:rPr>
          <w:rFonts w:hint="eastAsia"/>
          <w:sz w:val="24"/>
        </w:rPr>
        <w:t>380VAC/220VAC。</w:t>
      </w:r>
    </w:p>
    <w:p>
      <w:pPr>
        <w:tabs>
          <w:tab w:val="left" w:pos="1961"/>
        </w:tabs>
        <w:spacing w:line="360" w:lineRule="auto"/>
        <w:ind w:left="1360"/>
        <w:rPr>
          <w:sz w:val="24"/>
        </w:rPr>
      </w:pPr>
      <w:r>
        <w:rPr>
          <w:rFonts w:hint="eastAsia"/>
          <w:sz w:val="24"/>
          <w:lang w:val="en-US"/>
        </w:rPr>
        <w:t>5）</w:t>
      </w:r>
      <w:r>
        <w:rPr>
          <w:rFonts w:hint="eastAsia"/>
          <w:sz w:val="24"/>
        </w:rPr>
        <w:t>应尽量减少动力电压和控制电压的等级。</w:t>
      </w:r>
    </w:p>
    <w:p>
      <w:pPr>
        <w:pStyle w:val="8"/>
        <w:ind w:left="1320" w:firstLine="480"/>
        <w:rPr>
          <w:spacing w:val="-1"/>
        </w:rPr>
      </w:pPr>
      <w:bookmarkStart w:id="57" w:name="3.11.2抵制干扰"/>
      <w:bookmarkEnd w:id="57"/>
      <w:r>
        <w:rPr>
          <w:rFonts w:hint="eastAsia"/>
          <w:spacing w:val="-1"/>
          <w:lang w:val="en-US"/>
        </w:rPr>
        <w:t>2、</w:t>
      </w:r>
      <w:r>
        <w:rPr>
          <w:rFonts w:hint="eastAsia"/>
          <w:spacing w:val="-1"/>
        </w:rPr>
        <w:t>抵制干扰</w:t>
      </w:r>
    </w:p>
    <w:p>
      <w:pPr>
        <w:numPr>
          <w:ilvl w:val="0"/>
          <w:numId w:val="61"/>
        </w:numPr>
        <w:tabs>
          <w:tab w:val="left" w:pos="1961"/>
        </w:tabs>
        <w:spacing w:before="161" w:line="360" w:lineRule="auto"/>
        <w:ind w:left="1961"/>
        <w:rPr>
          <w:sz w:val="24"/>
        </w:rPr>
      </w:pPr>
      <w:r>
        <w:rPr>
          <w:rFonts w:hint="eastAsia"/>
          <w:spacing w:val="-4"/>
          <w:sz w:val="24"/>
        </w:rPr>
        <w:t xml:space="preserve">所有电气设备引起的谐波应符合中国国标 </w:t>
      </w:r>
      <w:r>
        <w:rPr>
          <w:rFonts w:hint="eastAsia"/>
          <w:sz w:val="24"/>
        </w:rPr>
        <w:t>GB/T4549-93.</w:t>
      </w:r>
    </w:p>
    <w:p>
      <w:pPr>
        <w:numPr>
          <w:ilvl w:val="0"/>
          <w:numId w:val="61"/>
        </w:numPr>
        <w:tabs>
          <w:tab w:val="left" w:pos="1961"/>
        </w:tabs>
        <w:spacing w:before="158"/>
        <w:ind w:left="1961"/>
        <w:rPr>
          <w:sz w:val="24"/>
        </w:rPr>
      </w:pPr>
      <w:r>
        <w:rPr>
          <w:rFonts w:hint="eastAsia"/>
          <w:sz w:val="24"/>
        </w:rPr>
        <w:t>使用变频器的场合应回味装射频滤波器。</w:t>
      </w:r>
    </w:p>
    <w:p>
      <w:pPr>
        <w:numPr>
          <w:ilvl w:val="0"/>
          <w:numId w:val="61"/>
        </w:numPr>
        <w:tabs>
          <w:tab w:val="left" w:pos="1961"/>
        </w:tabs>
        <w:spacing w:before="158" w:line="364" w:lineRule="auto"/>
        <w:ind w:left="880" w:right="905" w:firstLine="480"/>
        <w:rPr>
          <w:sz w:val="24"/>
        </w:rPr>
      </w:pPr>
      <w:r>
        <w:rPr>
          <w:rFonts w:hint="eastAsia"/>
          <w:spacing w:val="-1"/>
          <w:sz w:val="24"/>
        </w:rPr>
        <w:t>动力、控制、信号线路敷设引起的干扰应加以抑制，以免对建筑物内</w:t>
      </w:r>
      <w:r>
        <w:rPr>
          <w:rFonts w:hint="eastAsia"/>
          <w:sz w:val="24"/>
        </w:rPr>
        <w:t>音响系统、通讯系统、视频系统、无线电系统、电话系统、计算机系统或其它控制设备造成影响。计算机系统或敏感性控制设备应设有浪涌保护装置和独立的低阻专用接地。</w:t>
      </w:r>
    </w:p>
    <w:p>
      <w:pPr>
        <w:numPr>
          <w:ilvl w:val="0"/>
          <w:numId w:val="61"/>
        </w:numPr>
        <w:tabs>
          <w:tab w:val="left" w:pos="1961"/>
        </w:tabs>
        <w:spacing w:before="43" w:line="364" w:lineRule="auto"/>
        <w:ind w:left="880" w:right="1025" w:firstLine="480"/>
        <w:rPr>
          <w:sz w:val="24"/>
        </w:rPr>
      </w:pPr>
      <w:r>
        <w:rPr>
          <w:rFonts w:hint="eastAsia"/>
          <w:sz w:val="24"/>
        </w:rPr>
        <w:t>整个系统在其应用环境中必须具有电磁兼容性（EMC），</w:t>
      </w:r>
      <w:r>
        <w:rPr>
          <w:rFonts w:hint="eastAsia"/>
          <w:spacing w:val="-4"/>
          <w:sz w:val="24"/>
        </w:rPr>
        <w:t>并符合有关</w:t>
      </w:r>
      <w:r>
        <w:rPr>
          <w:rFonts w:hint="eastAsia"/>
          <w:sz w:val="24"/>
        </w:rPr>
        <w:t>标准。</w:t>
      </w:r>
    </w:p>
    <w:p>
      <w:pPr>
        <w:pStyle w:val="8"/>
        <w:ind w:left="1320" w:firstLine="482"/>
      </w:pPr>
      <w:bookmarkStart w:id="58" w:name="3.11.3电气元件与装置"/>
      <w:bookmarkEnd w:id="58"/>
      <w:r>
        <w:rPr>
          <w:rFonts w:hint="eastAsia"/>
        </w:rPr>
        <w:t>电气元件与装置</w:t>
      </w:r>
    </w:p>
    <w:p>
      <w:pPr>
        <w:pStyle w:val="9"/>
        <w:ind w:firstLine="482"/>
      </w:pPr>
      <w:r>
        <w:rPr>
          <w:rFonts w:hint="eastAsia"/>
          <w:lang w:val="en-US"/>
        </w:rPr>
        <w:t>1）</w:t>
      </w:r>
      <w:r>
        <w:rPr>
          <w:rFonts w:hint="eastAsia"/>
        </w:rPr>
        <w:t>一般原则</w:t>
      </w:r>
    </w:p>
    <w:p>
      <w:pPr>
        <w:spacing w:line="360" w:lineRule="auto"/>
        <w:ind w:left="880" w:right="1025" w:firstLine="480"/>
        <w:rPr>
          <w:sz w:val="24"/>
          <w:szCs w:val="24"/>
        </w:rPr>
      </w:pPr>
      <w:r>
        <w:rPr>
          <w:rFonts w:hint="eastAsia"/>
          <w:spacing w:val="-1"/>
          <w:sz w:val="24"/>
          <w:szCs w:val="24"/>
        </w:rPr>
        <w:t>所有电气元件与装置应选用高质量的原装进口产品，在满足舞台机械设备</w:t>
      </w:r>
      <w:r>
        <w:rPr>
          <w:rFonts w:hint="eastAsia"/>
          <w:sz w:val="24"/>
          <w:szCs w:val="24"/>
        </w:rPr>
        <w:t xml:space="preserve">的传动和控制系统要求的前提下，应采用达到世界先进水平的知名的标准产 </w:t>
      </w:r>
      <w:r>
        <w:rPr>
          <w:rFonts w:hint="eastAsia"/>
          <w:spacing w:val="-1"/>
          <w:sz w:val="24"/>
          <w:szCs w:val="24"/>
        </w:rPr>
        <w:t>品。所有电气元件或装置应有永久性标签，包括制造商名称、型号、技术参数</w:t>
      </w:r>
    </w:p>
    <w:p>
      <w:pPr>
        <w:spacing w:line="307" w:lineRule="exact"/>
        <w:ind w:left="880"/>
        <w:rPr>
          <w:sz w:val="24"/>
          <w:szCs w:val="24"/>
        </w:rPr>
      </w:pPr>
      <w:r>
        <w:rPr>
          <w:rFonts w:hint="eastAsia"/>
          <w:sz w:val="24"/>
          <w:szCs w:val="24"/>
        </w:rPr>
        <w:t>（额定值、接点值态方式等）、快速更换和查找故障的操作方法等。</w:t>
      </w:r>
    </w:p>
    <w:p>
      <w:pPr>
        <w:spacing w:before="158" w:line="362" w:lineRule="auto"/>
        <w:ind w:left="880" w:right="1025" w:firstLine="480"/>
        <w:jc w:val="both"/>
        <w:rPr>
          <w:sz w:val="24"/>
          <w:szCs w:val="24"/>
        </w:rPr>
      </w:pPr>
      <w:r>
        <w:rPr>
          <w:rFonts w:hint="eastAsia"/>
          <w:sz w:val="24"/>
          <w:szCs w:val="24"/>
        </w:rPr>
        <w:t>所有断路器、接触器、继电器和其它带电磁设备都应静噪工作，必要时采用隐蔽安装，以限制传递噪声和振动。所有框架和外罩都应结实坚固，不得随元件振动而振动。冷却风扇的噪声应降低程度。噪声过大的电气元件应淘汰。</w:t>
      </w:r>
    </w:p>
    <w:p>
      <w:pPr>
        <w:pStyle w:val="9"/>
        <w:ind w:firstLine="482"/>
        <w:rPr>
          <w:bCs w:val="0"/>
        </w:rPr>
      </w:pPr>
      <w:r>
        <w:rPr>
          <w:rFonts w:hint="eastAsia"/>
          <w:lang w:val="en-US"/>
        </w:rPr>
        <w:t>2）</w:t>
      </w:r>
      <w:r>
        <w:rPr>
          <w:rFonts w:hint="eastAsia"/>
        </w:rPr>
        <w:t>断路器、接触器、继电器</w:t>
      </w:r>
    </w:p>
    <w:p>
      <w:pPr>
        <w:spacing w:before="161" w:line="364" w:lineRule="auto"/>
        <w:ind w:left="880" w:right="905" w:firstLine="480"/>
        <w:rPr>
          <w:sz w:val="24"/>
          <w:szCs w:val="24"/>
        </w:rPr>
      </w:pPr>
      <w:r>
        <w:rPr>
          <w:rFonts w:hint="eastAsia"/>
          <w:sz w:val="24"/>
          <w:szCs w:val="24"/>
        </w:rPr>
        <w:t>断路器功能，其应具有短路、过载、热保护功能，其遮断能力应大于安装</w:t>
      </w:r>
      <w:r>
        <w:rPr>
          <w:rFonts w:hint="eastAsia"/>
          <w:spacing w:val="-3"/>
          <w:sz w:val="24"/>
          <w:szCs w:val="24"/>
        </w:rPr>
        <w:t xml:space="preserve">点的短路容量。接触器、继电器一般为组合型，且安装在 </w:t>
      </w:r>
      <w:r>
        <w:rPr>
          <w:rFonts w:hint="eastAsia"/>
          <w:sz w:val="24"/>
          <w:szCs w:val="24"/>
        </w:rPr>
        <w:t>DIN</w:t>
      </w:r>
      <w:r>
        <w:rPr>
          <w:rFonts w:hint="eastAsia"/>
          <w:spacing w:val="-8"/>
          <w:sz w:val="24"/>
          <w:szCs w:val="24"/>
        </w:rPr>
        <w:t xml:space="preserve"> 标准导轨上，接</w:t>
      </w:r>
      <w:r>
        <w:rPr>
          <w:rFonts w:hint="eastAsia"/>
          <w:spacing w:val="-12"/>
          <w:sz w:val="24"/>
          <w:szCs w:val="24"/>
        </w:rPr>
        <w:t xml:space="preserve">触器、继电器等应配有抑制单元，如 </w:t>
      </w:r>
      <w:r>
        <w:rPr>
          <w:rFonts w:hint="eastAsia"/>
          <w:sz w:val="24"/>
          <w:szCs w:val="24"/>
        </w:rPr>
        <w:t>RC</w:t>
      </w:r>
      <w:r>
        <w:rPr>
          <w:rFonts w:hint="eastAsia"/>
          <w:spacing w:val="-9"/>
          <w:sz w:val="24"/>
          <w:szCs w:val="24"/>
        </w:rPr>
        <w:t xml:space="preserve"> 元件、压敏电阻、二极管等，这些元件</w:t>
      </w:r>
      <w:r>
        <w:rPr>
          <w:rFonts w:hint="eastAsia"/>
          <w:sz w:val="24"/>
          <w:szCs w:val="24"/>
        </w:rPr>
        <w:t>直接与线圈连接。</w:t>
      </w:r>
    </w:p>
    <w:p>
      <w:pPr>
        <w:pStyle w:val="9"/>
        <w:ind w:firstLine="482"/>
        <w:rPr>
          <w:bCs w:val="0"/>
        </w:rPr>
      </w:pPr>
      <w:r>
        <w:rPr>
          <w:rFonts w:hint="eastAsia"/>
          <w:lang w:val="en-US"/>
        </w:rPr>
        <w:t>3）</w:t>
      </w:r>
      <w:r>
        <w:rPr>
          <w:rFonts w:hint="eastAsia"/>
        </w:rPr>
        <w:t>控制按钮和控制开关</w:t>
      </w:r>
    </w:p>
    <w:p>
      <w:pPr>
        <w:spacing w:before="158" w:line="364" w:lineRule="auto"/>
        <w:ind w:left="880" w:right="1025" w:firstLine="480"/>
        <w:rPr>
          <w:sz w:val="24"/>
          <w:szCs w:val="24"/>
        </w:rPr>
      </w:pPr>
      <w:r>
        <w:rPr>
          <w:rFonts w:hint="eastAsia"/>
          <w:sz w:val="24"/>
          <w:szCs w:val="24"/>
        </w:rPr>
        <w:t>控制按钮和控制开关应满足控制与操作的要求，并符合有关标准和人体工程学。其防护等级这 IP65，最短工作寿命 100000 次。</w:t>
      </w:r>
    </w:p>
    <w:p>
      <w:pPr>
        <w:pStyle w:val="9"/>
        <w:ind w:firstLine="482"/>
      </w:pPr>
      <w:r>
        <w:rPr>
          <w:rFonts w:hint="eastAsia"/>
        </w:rPr>
        <w:t>4）指示器</w:t>
      </w:r>
    </w:p>
    <w:p>
      <w:pPr>
        <w:spacing w:before="160" w:line="362" w:lineRule="auto"/>
        <w:ind w:left="880" w:right="1025" w:firstLine="480"/>
        <w:rPr>
          <w:sz w:val="24"/>
          <w:szCs w:val="24"/>
        </w:rPr>
      </w:pPr>
      <w:r>
        <w:rPr>
          <w:rFonts w:hint="eastAsia"/>
          <w:sz w:val="24"/>
          <w:szCs w:val="24"/>
        </w:rPr>
        <w:t>指示器应满足各种信号显示的要求，并符合有关标准和人体工程学，其防护等级为 IP65，指示器型号和种类越少越好。</w:t>
      </w:r>
    </w:p>
    <w:p>
      <w:pPr>
        <w:pStyle w:val="9"/>
        <w:ind w:firstLine="482"/>
      </w:pPr>
      <w:r>
        <w:rPr>
          <w:rFonts w:hint="eastAsia"/>
        </w:rPr>
        <w:t>5）熔断器</w:t>
      </w:r>
    </w:p>
    <w:p>
      <w:pPr>
        <w:spacing w:before="161" w:line="362" w:lineRule="auto"/>
        <w:ind w:left="880" w:right="1025" w:firstLine="480"/>
        <w:rPr>
          <w:sz w:val="24"/>
          <w:szCs w:val="24"/>
        </w:rPr>
      </w:pPr>
      <w:r>
        <w:rPr>
          <w:rFonts w:hint="eastAsia"/>
          <w:sz w:val="24"/>
          <w:szCs w:val="24"/>
        </w:rPr>
        <w:t>满足控制电路的要求，并有状态指示，选择及安装上应充分考虑其通用性并方便更换。</w:t>
      </w:r>
    </w:p>
    <w:p>
      <w:pPr>
        <w:pStyle w:val="9"/>
        <w:ind w:firstLine="482"/>
      </w:pPr>
      <w:r>
        <w:rPr>
          <w:rFonts w:hint="eastAsia"/>
        </w:rPr>
        <w:t>6）接线板和连接器</w:t>
      </w:r>
    </w:p>
    <w:p>
      <w:pPr>
        <w:numPr>
          <w:ilvl w:val="0"/>
          <w:numId w:val="62"/>
        </w:numPr>
        <w:tabs>
          <w:tab w:val="left" w:pos="1961"/>
        </w:tabs>
        <w:spacing w:before="161" w:line="362" w:lineRule="auto"/>
        <w:ind w:left="880" w:right="905" w:firstLine="480"/>
        <w:rPr>
          <w:sz w:val="24"/>
        </w:rPr>
      </w:pPr>
      <w:r>
        <w:rPr>
          <w:rFonts w:hint="eastAsia"/>
          <w:spacing w:val="-8"/>
          <w:sz w:val="24"/>
        </w:rPr>
        <w:t xml:space="preserve">接线板一般采用 </w:t>
      </w:r>
      <w:r>
        <w:rPr>
          <w:rFonts w:hint="eastAsia"/>
          <w:sz w:val="24"/>
        </w:rPr>
        <w:t>DIN</w:t>
      </w:r>
      <w:r>
        <w:rPr>
          <w:rFonts w:hint="eastAsia"/>
          <w:spacing w:val="-9"/>
          <w:sz w:val="24"/>
        </w:rPr>
        <w:t xml:space="preserve"> 标准导轨安装，应有明显的标志，连接可靠，防</w:t>
      </w:r>
      <w:r>
        <w:rPr>
          <w:rFonts w:hint="eastAsia"/>
          <w:sz w:val="24"/>
        </w:rPr>
        <w:t>止振动时松线。PE</w:t>
      </w:r>
      <w:r>
        <w:rPr>
          <w:rFonts w:hint="eastAsia"/>
          <w:spacing w:val="-12"/>
          <w:sz w:val="24"/>
        </w:rPr>
        <w:t xml:space="preserve"> 接线端子应采用黄绿相间的专用 </w:t>
      </w:r>
      <w:r>
        <w:rPr>
          <w:rFonts w:hint="eastAsia"/>
          <w:sz w:val="24"/>
        </w:rPr>
        <w:t>PE</w:t>
      </w:r>
      <w:r>
        <w:rPr>
          <w:rFonts w:hint="eastAsia"/>
          <w:spacing w:val="-10"/>
          <w:sz w:val="24"/>
        </w:rPr>
        <w:t xml:space="preserve"> 接线端子。</w:t>
      </w:r>
    </w:p>
    <w:p>
      <w:pPr>
        <w:numPr>
          <w:ilvl w:val="0"/>
          <w:numId w:val="62"/>
        </w:numPr>
        <w:tabs>
          <w:tab w:val="left" w:pos="1961"/>
        </w:tabs>
        <w:spacing w:before="5" w:line="364" w:lineRule="auto"/>
        <w:ind w:left="880" w:right="905" w:firstLine="480"/>
        <w:rPr>
          <w:sz w:val="24"/>
        </w:rPr>
      </w:pPr>
      <w:r>
        <w:rPr>
          <w:rFonts w:hint="eastAsia"/>
          <w:spacing w:val="-1"/>
          <w:sz w:val="24"/>
        </w:rPr>
        <w:t>所使用的连接器应为多销插头和插座，并符合有关标准。插头和插座</w:t>
      </w:r>
      <w:r>
        <w:rPr>
          <w:rFonts w:hint="eastAsia"/>
          <w:sz w:val="24"/>
        </w:rPr>
        <w:t>应配套使用，并保证连接正确，不会引起危险和不安全操作。</w:t>
      </w:r>
    </w:p>
    <w:p>
      <w:pPr>
        <w:pStyle w:val="9"/>
        <w:ind w:firstLine="482"/>
      </w:pPr>
      <w:r>
        <w:rPr>
          <w:rFonts w:hint="eastAsia"/>
        </w:rPr>
        <w:t>7）可编程序控制器（PLC）</w:t>
      </w:r>
    </w:p>
    <w:p>
      <w:pPr>
        <w:spacing w:before="160" w:line="364" w:lineRule="auto"/>
        <w:ind w:left="880" w:right="983" w:firstLine="480"/>
        <w:rPr>
          <w:sz w:val="24"/>
          <w:szCs w:val="24"/>
        </w:rPr>
      </w:pPr>
      <w:r>
        <w:rPr>
          <w:rFonts w:hint="eastAsia"/>
          <w:sz w:val="24"/>
          <w:szCs w:val="24"/>
        </w:rPr>
        <w:t>可编程序控制器的基本指令和应用指令运行时间、扫描周期、存储器（应为 EPROM）的容量等性能参数应满足控制与操作系统的要求。选用带电插拔的PLC 将受到欢迎。</w:t>
      </w:r>
      <w:r>
        <w:rPr>
          <w:rFonts w:hint="eastAsia"/>
          <w:b/>
          <w:sz w:val="24"/>
          <w:szCs w:val="24"/>
        </w:rPr>
        <w:t>PLC 和变频器</w:t>
      </w:r>
      <w:r>
        <w:rPr>
          <w:rFonts w:hint="eastAsia"/>
          <w:sz w:val="24"/>
          <w:szCs w:val="24"/>
        </w:rPr>
        <w:t>应是同一厂家的同一系列产品，并随附技术手册，三套程序清单和梯形电路图以及三套装有程序软件的数据盘。</w:t>
      </w:r>
    </w:p>
    <w:p>
      <w:pPr>
        <w:pStyle w:val="9"/>
        <w:ind w:firstLine="482"/>
      </w:pPr>
      <w:r>
        <w:rPr>
          <w:rFonts w:hint="eastAsia"/>
        </w:rPr>
        <w:t>8）网络通讯系统</w:t>
      </w:r>
    </w:p>
    <w:p>
      <w:pPr>
        <w:spacing w:before="158" w:line="364" w:lineRule="auto"/>
        <w:ind w:left="880" w:right="965" w:firstLine="480"/>
        <w:jc w:val="both"/>
        <w:rPr>
          <w:sz w:val="24"/>
          <w:szCs w:val="24"/>
        </w:rPr>
      </w:pPr>
      <w:r>
        <w:rPr>
          <w:rFonts w:hint="eastAsia"/>
          <w:spacing w:val="-8"/>
          <w:sz w:val="24"/>
          <w:szCs w:val="24"/>
        </w:rPr>
        <w:t xml:space="preserve">主控制系统中的 </w:t>
      </w:r>
      <w:r>
        <w:rPr>
          <w:rFonts w:hint="eastAsia"/>
          <w:sz w:val="24"/>
          <w:szCs w:val="24"/>
        </w:rPr>
        <w:t>PLC</w:t>
      </w:r>
      <w:r>
        <w:rPr>
          <w:rFonts w:hint="eastAsia"/>
          <w:spacing w:val="-8"/>
          <w:sz w:val="24"/>
          <w:szCs w:val="24"/>
        </w:rPr>
        <w:t xml:space="preserve"> 或计算机网络应是符合工业标准的开放式现场总线或</w:t>
      </w:r>
      <w:r>
        <w:rPr>
          <w:rFonts w:hint="eastAsia"/>
          <w:spacing w:val="-11"/>
          <w:sz w:val="24"/>
          <w:szCs w:val="24"/>
        </w:rPr>
        <w:t xml:space="preserve">局域网络，并保证在一个剧场内的数据传输速率不低于 </w:t>
      </w:r>
      <w:r>
        <w:rPr>
          <w:rFonts w:hint="eastAsia"/>
          <w:sz w:val="24"/>
          <w:szCs w:val="24"/>
        </w:rPr>
        <w:t>10MBPS，</w:t>
      </w:r>
      <w:r>
        <w:rPr>
          <w:rFonts w:hint="eastAsia"/>
          <w:spacing w:val="-4"/>
          <w:sz w:val="24"/>
          <w:szCs w:val="24"/>
        </w:rPr>
        <w:t>网络容量应大</w:t>
      </w:r>
      <w:r>
        <w:rPr>
          <w:rFonts w:hint="eastAsia"/>
          <w:spacing w:val="-6"/>
          <w:sz w:val="24"/>
          <w:szCs w:val="24"/>
        </w:rPr>
        <w:t xml:space="preserve">于轴控制器的数量或各 </w:t>
      </w:r>
      <w:r>
        <w:rPr>
          <w:rFonts w:hint="eastAsia"/>
          <w:sz w:val="24"/>
          <w:szCs w:val="24"/>
        </w:rPr>
        <w:t>PLC</w:t>
      </w:r>
      <w:r>
        <w:rPr>
          <w:rFonts w:hint="eastAsia"/>
          <w:spacing w:val="-8"/>
          <w:sz w:val="24"/>
          <w:szCs w:val="24"/>
        </w:rPr>
        <w:t xml:space="preserve"> 站的数量及以上的操作台</w:t>
      </w:r>
      <w:r>
        <w:rPr>
          <w:rFonts w:hint="eastAsia"/>
          <w:sz w:val="24"/>
          <w:szCs w:val="24"/>
        </w:rPr>
        <w:t>（盘）的数量，并考虑适当的余量。</w:t>
      </w:r>
    </w:p>
    <w:p>
      <w:pPr>
        <w:spacing w:line="364" w:lineRule="auto"/>
        <w:ind w:left="880" w:right="1025" w:firstLine="480"/>
        <w:jc w:val="both"/>
        <w:rPr>
          <w:sz w:val="24"/>
          <w:szCs w:val="24"/>
        </w:rPr>
      </w:pPr>
      <w:r>
        <w:rPr>
          <w:rFonts w:hint="eastAsia"/>
          <w:spacing w:val="-5"/>
          <w:sz w:val="24"/>
          <w:szCs w:val="24"/>
        </w:rPr>
        <w:t xml:space="preserve">用于智能型手动控制系统的 </w:t>
      </w:r>
      <w:r>
        <w:rPr>
          <w:rFonts w:hint="eastAsia"/>
          <w:sz w:val="24"/>
          <w:szCs w:val="24"/>
        </w:rPr>
        <w:t>PLC</w:t>
      </w:r>
      <w:r>
        <w:rPr>
          <w:rFonts w:hint="eastAsia"/>
          <w:spacing w:val="-9"/>
          <w:sz w:val="24"/>
          <w:szCs w:val="24"/>
        </w:rPr>
        <w:t xml:space="preserve"> 网络的容量，数据传输速率只需满足其控</w:t>
      </w:r>
      <w:r>
        <w:rPr>
          <w:rFonts w:hint="eastAsia"/>
          <w:sz w:val="24"/>
          <w:szCs w:val="24"/>
        </w:rPr>
        <w:t>制的要求。</w:t>
      </w:r>
    </w:p>
    <w:p>
      <w:pPr>
        <w:pStyle w:val="8"/>
        <w:ind w:left="1320" w:firstLine="482"/>
      </w:pPr>
      <w:bookmarkStart w:id="59" w:name="3.11.4_现场传感器"/>
      <w:bookmarkEnd w:id="59"/>
      <w:r>
        <w:rPr>
          <w:rFonts w:hint="eastAsia"/>
          <w:lang w:val="en-US"/>
        </w:rPr>
        <w:t>4、</w:t>
      </w:r>
      <w:r>
        <w:rPr>
          <w:rFonts w:hint="eastAsia"/>
        </w:rPr>
        <w:t>现场传感器</w:t>
      </w:r>
    </w:p>
    <w:p>
      <w:pPr>
        <w:spacing w:before="157" w:line="364" w:lineRule="auto"/>
        <w:ind w:left="880" w:right="1025" w:firstLine="480"/>
        <w:jc w:val="both"/>
        <w:rPr>
          <w:sz w:val="24"/>
          <w:szCs w:val="24"/>
        </w:rPr>
      </w:pPr>
      <w:r>
        <w:rPr>
          <w:rFonts w:hint="eastAsia"/>
          <w:sz w:val="24"/>
          <w:szCs w:val="24"/>
        </w:rPr>
        <w:t>现场传感器是指独立安装在现场的用于速度、位置、限位、负载以及其他信号的检测装置。所有现场传感器的信号应在控制系统中受到监控并显示，其防护等级至少为 IP65，其安装方式和位置应便于调整和维护。</w:t>
      </w:r>
    </w:p>
    <w:p>
      <w:pPr>
        <w:pStyle w:val="9"/>
        <w:ind w:firstLine="482"/>
      </w:pPr>
      <w:r>
        <w:rPr>
          <w:rFonts w:hint="eastAsia"/>
        </w:rPr>
        <w:t>1）速度连续检测装置</w:t>
      </w:r>
    </w:p>
    <w:p>
      <w:pPr>
        <w:spacing w:before="158" w:line="364" w:lineRule="auto"/>
        <w:ind w:left="880" w:right="1017" w:firstLine="480"/>
        <w:rPr>
          <w:sz w:val="24"/>
          <w:szCs w:val="24"/>
        </w:rPr>
      </w:pPr>
      <w:r>
        <w:rPr>
          <w:rFonts w:hint="eastAsia"/>
          <w:sz w:val="24"/>
          <w:szCs w:val="24"/>
        </w:rPr>
        <w:t>一般安装在传动轴上，应选用增量型旋转编码器[解相度不低于 1000p(脉冲)/r(转速)]。速度连续检测装置不能有丢失脉冲的现象。</w:t>
      </w:r>
    </w:p>
    <w:p>
      <w:pPr>
        <w:pStyle w:val="9"/>
        <w:ind w:firstLine="482"/>
      </w:pPr>
      <w:r>
        <w:rPr>
          <w:rFonts w:hint="eastAsia"/>
        </w:rPr>
        <w:t>2）位置连续检测装置</w:t>
      </w:r>
    </w:p>
    <w:p>
      <w:pPr>
        <w:spacing w:before="161" w:line="364" w:lineRule="auto"/>
        <w:ind w:left="880" w:right="1025" w:firstLine="480"/>
        <w:jc w:val="both"/>
        <w:rPr>
          <w:sz w:val="24"/>
          <w:szCs w:val="24"/>
        </w:rPr>
      </w:pPr>
      <w:r>
        <w:rPr>
          <w:rFonts w:hint="eastAsia"/>
          <w:sz w:val="24"/>
          <w:szCs w:val="24"/>
        </w:rPr>
        <w:t>一般安装在传动装置侧或反映舞台机械设备实际位置的地方，应选用解相度不低于 100p(脉冲)/mm（舞台机械设备的行程）的绝对值型旋转编码器。位置连续检测装置不能有丢失脉冲的现象。</w:t>
      </w:r>
    </w:p>
    <w:p>
      <w:pPr>
        <w:pStyle w:val="9"/>
        <w:ind w:firstLine="482"/>
      </w:pPr>
      <w:r>
        <w:rPr>
          <w:rFonts w:hint="eastAsia"/>
        </w:rPr>
        <w:t>3）松链开关</w:t>
      </w:r>
    </w:p>
    <w:p>
      <w:pPr>
        <w:spacing w:before="158" w:line="362" w:lineRule="auto"/>
        <w:ind w:left="880" w:right="1025" w:firstLine="480"/>
        <w:rPr>
          <w:sz w:val="24"/>
          <w:szCs w:val="24"/>
        </w:rPr>
      </w:pPr>
      <w:r>
        <w:rPr>
          <w:rFonts w:hint="eastAsia"/>
          <w:sz w:val="24"/>
          <w:szCs w:val="24"/>
        </w:rPr>
        <w:t>用于开关盒或编码器传动的链条，应有松链保护。当发生松链时，其保护开关应动作并发出信号。</w:t>
      </w:r>
    </w:p>
    <w:p>
      <w:pPr>
        <w:pStyle w:val="9"/>
        <w:ind w:firstLine="482"/>
      </w:pPr>
      <w:r>
        <w:rPr>
          <w:rFonts w:hint="eastAsia"/>
        </w:rPr>
        <w:t>4）限位开关和定位开关</w:t>
      </w:r>
    </w:p>
    <w:p>
      <w:pPr>
        <w:spacing w:before="158" w:line="364" w:lineRule="auto"/>
        <w:ind w:left="880" w:right="1025" w:firstLine="480"/>
        <w:rPr>
          <w:sz w:val="24"/>
          <w:szCs w:val="24"/>
        </w:rPr>
      </w:pPr>
      <w:r>
        <w:rPr>
          <w:rFonts w:hint="eastAsia"/>
          <w:sz w:val="24"/>
          <w:szCs w:val="24"/>
        </w:rPr>
        <w:t xml:space="preserve">行程终止限位开关一般为安装在传动装置上的专用限位箱或特制开关箱 </w:t>
      </w:r>
      <w:r>
        <w:rPr>
          <w:rFonts w:hint="eastAsia"/>
          <w:spacing w:val="-1"/>
          <w:sz w:val="24"/>
          <w:szCs w:val="24"/>
        </w:rPr>
        <w:t>内，不允许使用小型盒式微动开关。限位箱或特制开关箱内的开关安装时应有</w:t>
      </w:r>
    </w:p>
    <w:p>
      <w:pPr>
        <w:spacing w:before="43" w:line="364" w:lineRule="auto"/>
        <w:ind w:left="880" w:right="1025"/>
        <w:rPr>
          <w:sz w:val="24"/>
          <w:szCs w:val="24"/>
        </w:rPr>
      </w:pPr>
      <w:r>
        <w:rPr>
          <w:rFonts w:hint="eastAsia"/>
          <w:sz w:val="24"/>
          <w:szCs w:val="24"/>
        </w:rPr>
        <w:t>合适的精度，保证在任何负荷及速度下从任何方向撞击都应能在规定范围内以规定的精度重复动作。</w:t>
      </w:r>
    </w:p>
    <w:p>
      <w:pPr>
        <w:spacing w:line="364" w:lineRule="auto"/>
        <w:ind w:left="880" w:right="1025" w:firstLine="480"/>
        <w:rPr>
          <w:sz w:val="24"/>
          <w:szCs w:val="24"/>
        </w:rPr>
      </w:pPr>
      <w:r>
        <w:rPr>
          <w:rFonts w:hint="eastAsia"/>
          <w:spacing w:val="-1"/>
          <w:sz w:val="24"/>
          <w:szCs w:val="24"/>
        </w:rPr>
        <w:t>中间定位开关、减速开关可配置在限位箱内，也可在适当位置另设机械撞</w:t>
      </w:r>
      <w:r>
        <w:rPr>
          <w:rFonts w:hint="eastAsia"/>
          <w:sz w:val="24"/>
          <w:szCs w:val="24"/>
        </w:rPr>
        <w:t>击式或接近开关。当不采用上述两种方式时可从位置连续检测传感器内取信 号。</w:t>
      </w:r>
    </w:p>
    <w:p>
      <w:pPr>
        <w:pStyle w:val="9"/>
        <w:ind w:firstLine="482"/>
      </w:pPr>
      <w:r>
        <w:rPr>
          <w:rFonts w:hint="eastAsia"/>
        </w:rPr>
        <w:t>5）超程检测</w:t>
      </w:r>
    </w:p>
    <w:p>
      <w:pPr>
        <w:spacing w:before="157" w:line="364" w:lineRule="auto"/>
        <w:ind w:left="880" w:right="1025" w:firstLine="480"/>
        <w:rPr>
          <w:sz w:val="24"/>
          <w:szCs w:val="24"/>
        </w:rPr>
      </w:pPr>
      <w:r>
        <w:rPr>
          <w:rFonts w:hint="eastAsia"/>
          <w:sz w:val="24"/>
          <w:szCs w:val="24"/>
        </w:rPr>
        <w:t>超程限位开关的类型应为直碰式机械限位开关。超程限位开关应直接动作于电动机或其他传动设备的控制回路，以切断其动力电源。</w:t>
      </w:r>
    </w:p>
    <w:p>
      <w:pPr>
        <w:pStyle w:val="9"/>
        <w:ind w:firstLine="482"/>
      </w:pPr>
      <w:r>
        <w:rPr>
          <w:rFonts w:hint="eastAsia"/>
        </w:rPr>
        <w:t>6）松绳检测</w:t>
      </w:r>
    </w:p>
    <w:p>
      <w:pPr>
        <w:spacing w:before="158" w:line="360" w:lineRule="auto"/>
        <w:ind w:left="1360"/>
        <w:rPr>
          <w:sz w:val="24"/>
          <w:szCs w:val="24"/>
        </w:rPr>
      </w:pPr>
      <w:r>
        <w:rPr>
          <w:rFonts w:hint="eastAsia"/>
          <w:sz w:val="24"/>
          <w:szCs w:val="24"/>
        </w:rPr>
        <w:t>松绳检测可使用测压传感器、接近开关或电极短路控制来测试绳的状态。</w:t>
      </w:r>
    </w:p>
    <w:p>
      <w:pPr>
        <w:pStyle w:val="8"/>
        <w:ind w:left="1320" w:firstLine="482"/>
      </w:pPr>
      <w:bookmarkStart w:id="60" w:name="3.11.5_驱动装置"/>
      <w:bookmarkEnd w:id="60"/>
      <w:r>
        <w:rPr>
          <w:rFonts w:hint="eastAsia"/>
          <w:lang w:val="en-US"/>
        </w:rPr>
        <w:t>5、</w:t>
      </w:r>
      <w:r>
        <w:rPr>
          <w:rFonts w:hint="eastAsia"/>
        </w:rPr>
        <w:t>驱动装置</w:t>
      </w:r>
    </w:p>
    <w:p>
      <w:pPr>
        <w:pStyle w:val="9"/>
        <w:ind w:firstLine="482"/>
        <w:rPr>
          <w:bCs w:val="0"/>
        </w:rPr>
      </w:pPr>
      <w:r>
        <w:rPr>
          <w:rFonts w:hint="eastAsia"/>
          <w:lang w:val="en-US"/>
        </w:rPr>
        <w:t>1）</w:t>
      </w:r>
      <w:r>
        <w:rPr>
          <w:rFonts w:hint="eastAsia"/>
        </w:rPr>
        <w:t>电源隔离及保护</w:t>
      </w:r>
    </w:p>
    <w:p>
      <w:pPr>
        <w:spacing w:before="160" w:line="360" w:lineRule="auto"/>
        <w:ind w:left="1360"/>
        <w:rPr>
          <w:sz w:val="24"/>
          <w:szCs w:val="24"/>
        </w:rPr>
      </w:pPr>
      <w:r>
        <w:rPr>
          <w:rFonts w:hint="eastAsia"/>
          <w:sz w:val="24"/>
          <w:szCs w:val="24"/>
        </w:rPr>
        <w:t>每一特定组电气机柜的电源进线电缆至柜内电源母线之间应设置负载开关</w:t>
      </w:r>
    </w:p>
    <w:p>
      <w:pPr>
        <w:spacing w:before="158" w:line="364" w:lineRule="auto"/>
        <w:ind w:left="880" w:right="905"/>
        <w:rPr>
          <w:sz w:val="24"/>
          <w:szCs w:val="24"/>
        </w:rPr>
      </w:pPr>
      <w:r>
        <w:rPr>
          <w:rFonts w:hint="eastAsia"/>
          <w:sz w:val="24"/>
          <w:szCs w:val="24"/>
        </w:rPr>
        <w:t>（或断路器）和电源接触器（可在机柜面板上合/断电源）。电气机柜面板上应有控制按钮、电源接通指示器、相位器、电压表、电流表等电源信息元件。由电源母线至各驱动装置之内应设置负载开关（或断路器）。控制电源应设熔断器或其它保护。</w:t>
      </w:r>
    </w:p>
    <w:p>
      <w:pPr>
        <w:pStyle w:val="9"/>
        <w:ind w:firstLine="482"/>
      </w:pPr>
      <w:r>
        <w:rPr>
          <w:rFonts w:hint="eastAsia"/>
        </w:rPr>
        <w:t>2）定速装置</w:t>
      </w:r>
    </w:p>
    <w:p>
      <w:pPr>
        <w:spacing w:before="161" w:line="364" w:lineRule="auto"/>
        <w:ind w:left="880" w:right="1025" w:firstLine="480"/>
        <w:jc w:val="both"/>
        <w:rPr>
          <w:sz w:val="24"/>
          <w:szCs w:val="24"/>
        </w:rPr>
      </w:pPr>
      <w:r>
        <w:rPr>
          <w:rFonts w:hint="eastAsia"/>
          <w:sz w:val="24"/>
          <w:szCs w:val="24"/>
        </w:rPr>
        <w:t>不需要调速的舞台机械设备的主回路可由断路器、热继电器、正（反）向接触器组成。电动机的启动应考虑对电网系统的冲击和对机械设备的冲击。其控制可使用智能型控制器或继电器线路来实现。</w:t>
      </w:r>
    </w:p>
    <w:p>
      <w:pPr>
        <w:pStyle w:val="8"/>
        <w:ind w:left="1320" w:firstLine="482"/>
      </w:pPr>
      <w:bookmarkStart w:id="61" w:name="3.11.6_操作设备"/>
      <w:bookmarkEnd w:id="61"/>
      <w:r>
        <w:rPr>
          <w:rFonts w:hint="eastAsia"/>
          <w:lang w:val="en-US"/>
        </w:rPr>
        <w:t>6、</w:t>
      </w:r>
      <w:r>
        <w:rPr>
          <w:rFonts w:hint="eastAsia"/>
        </w:rPr>
        <w:t>操作设备</w:t>
      </w:r>
    </w:p>
    <w:p>
      <w:pPr>
        <w:spacing w:before="160" w:line="364" w:lineRule="auto"/>
        <w:ind w:left="880" w:right="1025" w:firstLine="480"/>
        <w:jc w:val="both"/>
        <w:rPr>
          <w:sz w:val="24"/>
          <w:szCs w:val="24"/>
        </w:rPr>
      </w:pPr>
      <w:r>
        <w:rPr>
          <w:rFonts w:hint="eastAsia"/>
          <w:sz w:val="24"/>
          <w:szCs w:val="24"/>
        </w:rPr>
        <w:t>操作台（盘）应有操纵杆或其它操作控制器、控制按钮和控制开关、指示器、紧急停车按钮等。操作台（盘）的设计、制造和安装应该符合人体工程学且满足电气安全的要求，其防护等级应高于 IP54。</w:t>
      </w:r>
    </w:p>
    <w:p>
      <w:pPr>
        <w:pStyle w:val="9"/>
        <w:ind w:firstLine="482"/>
        <w:rPr>
          <w:bCs w:val="0"/>
        </w:rPr>
      </w:pPr>
      <w:r>
        <w:rPr>
          <w:rFonts w:hint="eastAsia"/>
          <w:lang w:val="en-US"/>
        </w:rPr>
        <w:t>1）</w:t>
      </w:r>
      <w:r>
        <w:rPr>
          <w:rFonts w:hint="eastAsia"/>
        </w:rPr>
        <w:t>主操作台</w:t>
      </w:r>
    </w:p>
    <w:p>
      <w:pPr>
        <w:spacing w:before="161" w:line="364" w:lineRule="auto"/>
        <w:ind w:left="880" w:right="1025" w:firstLine="480"/>
        <w:jc w:val="both"/>
        <w:rPr>
          <w:sz w:val="24"/>
          <w:szCs w:val="24"/>
        </w:rPr>
      </w:pPr>
      <w:r>
        <w:rPr>
          <w:rFonts w:hint="eastAsia"/>
          <w:sz w:val="24"/>
          <w:szCs w:val="24"/>
        </w:rPr>
        <w:t>用于对整个舞台机械设备集中操作，是控制与操作系统的管理中心。主操作台除了具有对剧场内所用机械设备进行控制与操作的功能（预选择、运动参数设定、设备编组、场景运行、场景序列运行、手动介入功能等），还必须提</w:t>
      </w:r>
    </w:p>
    <w:p>
      <w:pPr>
        <w:spacing w:before="43" w:line="364" w:lineRule="auto"/>
        <w:ind w:left="880" w:right="1025"/>
        <w:rPr>
          <w:sz w:val="24"/>
          <w:szCs w:val="24"/>
        </w:rPr>
      </w:pPr>
      <w:r>
        <w:rPr>
          <w:rFonts w:hint="eastAsia"/>
          <w:sz w:val="24"/>
          <w:szCs w:val="24"/>
        </w:rPr>
        <w:t>供系统管理及维护的根据演出过程需要而附带的工程组态功能。主操作台一般放在主控制室内。</w:t>
      </w:r>
    </w:p>
    <w:p>
      <w:pPr>
        <w:pStyle w:val="8"/>
        <w:ind w:left="1320" w:firstLine="482"/>
      </w:pPr>
      <w:bookmarkStart w:id="62" w:name="3.11.7._电气设备柜"/>
      <w:bookmarkEnd w:id="62"/>
      <w:r>
        <w:rPr>
          <w:rFonts w:hint="eastAsia"/>
          <w:lang w:val="en-US"/>
        </w:rPr>
        <w:t>7、</w:t>
      </w:r>
      <w:r>
        <w:rPr>
          <w:rFonts w:hint="eastAsia"/>
        </w:rPr>
        <w:t>电气设备柜</w:t>
      </w:r>
    </w:p>
    <w:p>
      <w:pPr>
        <w:pStyle w:val="9"/>
        <w:ind w:firstLine="482"/>
      </w:pPr>
      <w:r>
        <w:rPr>
          <w:rFonts w:hint="eastAsia"/>
          <w:lang w:val="en-US"/>
        </w:rPr>
        <w:t>1）</w:t>
      </w:r>
      <w:r>
        <w:rPr>
          <w:rFonts w:hint="eastAsia"/>
        </w:rPr>
        <w:t>结构</w:t>
      </w:r>
    </w:p>
    <w:p>
      <w:pPr>
        <w:spacing w:line="364" w:lineRule="auto"/>
        <w:ind w:left="880" w:right="1025" w:firstLine="480"/>
        <w:rPr>
          <w:sz w:val="24"/>
          <w:szCs w:val="24"/>
        </w:rPr>
      </w:pPr>
      <w:r>
        <w:rPr>
          <w:rFonts w:hint="eastAsia"/>
          <w:sz w:val="24"/>
          <w:szCs w:val="24"/>
        </w:rPr>
        <w:t xml:space="preserve">电气设备柜和机柜和机架都应采用经过防锈处理的金属板或钢板刚性制 </w:t>
      </w:r>
      <w:r>
        <w:rPr>
          <w:rFonts w:hint="eastAsia"/>
          <w:spacing w:val="-1"/>
          <w:sz w:val="24"/>
          <w:szCs w:val="24"/>
        </w:rPr>
        <w:t>作，必要时用钢板或型钢的框架加强。电气设备柜应有防尘和防潮措施。除通风处和电缆进出口外，所有机柜和机架都应有全部封闭。每个机柜的深度应能</w:t>
      </w:r>
      <w:r>
        <w:rPr>
          <w:rFonts w:hint="eastAsia"/>
          <w:sz w:val="24"/>
          <w:szCs w:val="24"/>
        </w:rPr>
        <w:t>保证适当的设备和接线空间。每一特定组的各机柜深度、高度和颜色都应相 同。</w:t>
      </w:r>
    </w:p>
    <w:p>
      <w:pPr>
        <w:pStyle w:val="9"/>
        <w:ind w:firstLine="482"/>
      </w:pPr>
      <w:r>
        <w:rPr>
          <w:rFonts w:hint="eastAsia"/>
        </w:rPr>
        <w:t>2）安装方式</w:t>
      </w:r>
    </w:p>
    <w:p>
      <w:pPr>
        <w:spacing w:before="155" w:line="364" w:lineRule="auto"/>
        <w:ind w:left="880" w:right="1025" w:firstLine="480"/>
        <w:rPr>
          <w:sz w:val="24"/>
          <w:szCs w:val="24"/>
        </w:rPr>
      </w:pPr>
      <w:r>
        <w:rPr>
          <w:rFonts w:hint="eastAsia"/>
          <w:sz w:val="24"/>
          <w:szCs w:val="24"/>
        </w:rPr>
        <w:t>机柜或机架应配置为壁装式、背靠背安装或自由固定式。安装的固定点和安装板在安装时不对设备造成变形或应力。</w:t>
      </w:r>
    </w:p>
    <w:p>
      <w:pPr>
        <w:pStyle w:val="9"/>
        <w:ind w:firstLine="482"/>
      </w:pPr>
      <w:r>
        <w:rPr>
          <w:rFonts w:hint="eastAsia"/>
        </w:rPr>
        <w:t>3）通风</w:t>
      </w:r>
    </w:p>
    <w:p>
      <w:pPr>
        <w:spacing w:before="158" w:line="364" w:lineRule="auto"/>
        <w:ind w:left="880" w:right="1025" w:firstLine="480"/>
        <w:jc w:val="both"/>
        <w:rPr>
          <w:sz w:val="24"/>
          <w:szCs w:val="24"/>
        </w:rPr>
      </w:pPr>
      <w:r>
        <w:rPr>
          <w:rFonts w:hint="eastAsia"/>
          <w:sz w:val="24"/>
          <w:szCs w:val="24"/>
        </w:rPr>
        <w:t>所有电气元件或装置都应能在所用外罩内和规定的环境下连续运行。机柜应设有适当的自然通风，以散去设备产生的热量，通风孔应采用细网或泡沫隔栅保护，以防赃物侵入。除非专门批准，不得用风扇直接对机柜或机架进行通风，如需强制通风外壳应加压密封且进风需过滤。</w:t>
      </w:r>
    </w:p>
    <w:p>
      <w:pPr>
        <w:pStyle w:val="9"/>
        <w:ind w:firstLine="482"/>
      </w:pPr>
      <w:r>
        <w:rPr>
          <w:rFonts w:hint="eastAsia"/>
        </w:rPr>
        <w:t>4）电缆进出线</w:t>
      </w:r>
    </w:p>
    <w:p>
      <w:pPr>
        <w:spacing w:before="160" w:line="364" w:lineRule="auto"/>
        <w:ind w:left="880" w:right="1025" w:firstLine="480"/>
        <w:jc w:val="both"/>
        <w:rPr>
          <w:sz w:val="24"/>
          <w:szCs w:val="24"/>
        </w:rPr>
      </w:pPr>
      <w:r>
        <w:rPr>
          <w:rFonts w:hint="eastAsia"/>
          <w:sz w:val="24"/>
          <w:szCs w:val="24"/>
        </w:rPr>
        <w:t>电缆孔应在工厂按需位置掏好，并没有可拆卸板以便在现场最后加工。单蓝进出线处应考虑电缆的外径、敷设方式和足够的弯曲半径，并有电缆固定装置。</w:t>
      </w:r>
    </w:p>
    <w:p>
      <w:pPr>
        <w:pStyle w:val="9"/>
        <w:ind w:firstLine="482"/>
      </w:pPr>
      <w:r>
        <w:rPr>
          <w:rFonts w:hint="eastAsia"/>
        </w:rPr>
        <w:t>5）机柜门及检修面板</w:t>
      </w:r>
    </w:p>
    <w:p>
      <w:pPr>
        <w:spacing w:before="161" w:line="364" w:lineRule="auto"/>
        <w:ind w:left="880" w:right="1025" w:firstLine="480"/>
        <w:jc w:val="both"/>
        <w:rPr>
          <w:sz w:val="24"/>
          <w:szCs w:val="24"/>
        </w:rPr>
      </w:pPr>
      <w:r>
        <w:rPr>
          <w:rFonts w:hint="eastAsia"/>
          <w:sz w:val="24"/>
          <w:szCs w:val="24"/>
        </w:rPr>
        <w:t>门和面板设计应有足够的刚性，门和可拆卸的检修面板应装有尘密封条。所有外壳和面板都应在彻底清除油脂和锈迹后涂烘干漆。颜色可由承包商提供色标，经业主选定。</w:t>
      </w:r>
    </w:p>
    <w:p>
      <w:pPr>
        <w:pStyle w:val="9"/>
        <w:ind w:firstLine="482"/>
      </w:pPr>
      <w:r>
        <w:rPr>
          <w:rFonts w:hint="eastAsia"/>
        </w:rPr>
        <w:t>6）资料袋</w:t>
      </w:r>
    </w:p>
    <w:p>
      <w:pPr>
        <w:spacing w:before="160" w:line="362" w:lineRule="auto"/>
        <w:ind w:left="880" w:right="1025" w:firstLine="480"/>
        <w:rPr>
          <w:sz w:val="24"/>
          <w:szCs w:val="24"/>
        </w:rPr>
      </w:pPr>
      <w:r>
        <w:rPr>
          <w:rFonts w:hint="eastAsia"/>
          <w:sz w:val="24"/>
          <w:szCs w:val="24"/>
        </w:rPr>
        <w:t>每个机柜外壳主门内侧应挂一个资料袋，用于装入本电气设备柜的各电气元件或装置的样本、接线、维修和维护等资料或图纸。</w:t>
      </w:r>
    </w:p>
    <w:p>
      <w:pPr>
        <w:pStyle w:val="8"/>
        <w:ind w:left="1320" w:firstLine="476"/>
        <w:rPr>
          <w:spacing w:val="-3"/>
        </w:rPr>
      </w:pPr>
      <w:bookmarkStart w:id="63" w:name="3.11.8_电缆及线路敷设"/>
      <w:bookmarkEnd w:id="63"/>
      <w:r>
        <w:rPr>
          <w:rFonts w:hint="eastAsia"/>
          <w:spacing w:val="-3"/>
          <w:lang w:val="en-US"/>
        </w:rPr>
        <w:t>8、</w:t>
      </w:r>
      <w:r>
        <w:rPr>
          <w:rFonts w:hint="eastAsia"/>
          <w:spacing w:val="-3"/>
        </w:rPr>
        <w:t>电缆及线路敷设</w:t>
      </w:r>
    </w:p>
    <w:p>
      <w:pPr>
        <w:pStyle w:val="9"/>
        <w:ind w:firstLine="482"/>
      </w:pPr>
      <w:r>
        <w:rPr>
          <w:rFonts w:hint="eastAsia"/>
        </w:rPr>
        <w:t>1）电缆种类</w:t>
      </w:r>
    </w:p>
    <w:p>
      <w:pPr>
        <w:spacing w:before="43" w:line="364" w:lineRule="auto"/>
        <w:ind w:left="880" w:right="905" w:firstLine="480"/>
        <w:rPr>
          <w:sz w:val="24"/>
          <w:szCs w:val="24"/>
        </w:rPr>
      </w:pPr>
      <w:r>
        <w:rPr>
          <w:rFonts w:hint="eastAsia"/>
          <w:sz w:val="24"/>
          <w:szCs w:val="24"/>
        </w:rPr>
        <w:t>所用电缆应为低烟雾（LSF）、阻燃型或耐火型的铜心电缆。动力电缆和控制的型号、电压、载流量、截面、芯数、外护套等应满足其电路类型、传输信号、使用环境和敷设方式的要求，并符合有关规范。</w:t>
      </w:r>
    </w:p>
    <w:p>
      <w:pPr>
        <w:pStyle w:val="9"/>
        <w:ind w:firstLine="482"/>
      </w:pPr>
      <w:r>
        <w:rPr>
          <w:rFonts w:hint="eastAsia"/>
        </w:rPr>
        <w:t>2）软电缆</w:t>
      </w:r>
    </w:p>
    <w:p>
      <w:pPr>
        <w:spacing w:before="158" w:line="364" w:lineRule="auto"/>
        <w:ind w:left="880" w:right="1025" w:firstLine="480"/>
        <w:rPr>
          <w:sz w:val="24"/>
          <w:szCs w:val="24"/>
        </w:rPr>
      </w:pPr>
      <w:r>
        <w:rPr>
          <w:rFonts w:hint="eastAsia"/>
          <w:sz w:val="24"/>
          <w:szCs w:val="24"/>
        </w:rPr>
        <w:t>移动部件的控制和动力电缆可采用软电缆，选用任何软电缆时有应考虑环境和导线的温度、耐磨性、挠性和机械应力。软电缆应满足防火要求。</w:t>
      </w:r>
    </w:p>
    <w:p>
      <w:pPr>
        <w:pStyle w:val="9"/>
        <w:ind w:firstLine="482"/>
      </w:pPr>
      <w:r>
        <w:rPr>
          <w:rFonts w:hint="eastAsia"/>
        </w:rPr>
        <w:t>3）电缆卷筒</w:t>
      </w:r>
    </w:p>
    <w:p>
      <w:pPr>
        <w:spacing w:before="160" w:line="364" w:lineRule="auto"/>
        <w:ind w:left="880" w:right="1025" w:firstLine="480"/>
        <w:rPr>
          <w:sz w:val="24"/>
          <w:szCs w:val="24"/>
        </w:rPr>
      </w:pPr>
      <w:r>
        <w:rPr>
          <w:rFonts w:hint="eastAsia"/>
          <w:sz w:val="24"/>
          <w:szCs w:val="24"/>
        </w:rPr>
        <w:t>在电缆卷筒上的电缆应降容使用，并留有充分的余量。电缆卷筒的设计应考虑在拉紧和固定电缆时，对电缆任何部分都不产生过量应力。</w:t>
      </w:r>
    </w:p>
    <w:p>
      <w:pPr>
        <w:pStyle w:val="9"/>
        <w:ind w:firstLine="482"/>
      </w:pPr>
      <w:r>
        <w:rPr>
          <w:rFonts w:hint="eastAsia"/>
        </w:rPr>
        <w:t>4）电缆滑环</w:t>
      </w:r>
    </w:p>
    <w:p>
      <w:pPr>
        <w:spacing w:before="158" w:line="364" w:lineRule="auto"/>
        <w:ind w:left="880" w:right="1025" w:firstLine="480"/>
        <w:jc w:val="both"/>
        <w:rPr>
          <w:sz w:val="24"/>
          <w:szCs w:val="24"/>
        </w:rPr>
      </w:pPr>
      <w:r>
        <w:rPr>
          <w:rFonts w:hint="eastAsia"/>
          <w:sz w:val="24"/>
          <w:szCs w:val="24"/>
        </w:rPr>
        <w:t>电缆滑环是在实践中使用过的高质量产品，滑环和电刷应有足够的载流能力且接触电阻小。在设计或选用电缆卷绕装置的滑环时应充分考虑对控制电路可能产生的电气干扰。</w:t>
      </w:r>
    </w:p>
    <w:p>
      <w:pPr>
        <w:pStyle w:val="9"/>
        <w:ind w:firstLine="482"/>
      </w:pPr>
      <w:r>
        <w:rPr>
          <w:rFonts w:hint="eastAsia"/>
        </w:rPr>
        <w:t>5）电缆敷设</w:t>
      </w:r>
    </w:p>
    <w:p>
      <w:pPr>
        <w:numPr>
          <w:ilvl w:val="3"/>
          <w:numId w:val="63"/>
        </w:numPr>
        <w:tabs>
          <w:tab w:val="left" w:pos="1721"/>
        </w:tabs>
        <w:spacing w:before="161"/>
        <w:ind w:left="1721" w:hanging="361"/>
        <w:rPr>
          <w:sz w:val="24"/>
        </w:rPr>
      </w:pPr>
      <w:r>
        <w:rPr>
          <w:rFonts w:hint="eastAsia"/>
          <w:sz w:val="24"/>
        </w:rPr>
        <w:t>电缆的敷设应符合有关规范。</w:t>
      </w:r>
    </w:p>
    <w:p>
      <w:pPr>
        <w:numPr>
          <w:ilvl w:val="3"/>
          <w:numId w:val="63"/>
        </w:numPr>
        <w:tabs>
          <w:tab w:val="left" w:pos="1721"/>
        </w:tabs>
        <w:spacing w:before="158"/>
        <w:ind w:left="1721" w:hanging="361"/>
        <w:rPr>
          <w:sz w:val="24"/>
        </w:rPr>
      </w:pPr>
      <w:r>
        <w:rPr>
          <w:rFonts w:hint="eastAsia"/>
          <w:sz w:val="24"/>
        </w:rPr>
        <w:t>电缆敷设时应将电磁干扰降低到最低程度。</w:t>
      </w:r>
    </w:p>
    <w:p>
      <w:pPr>
        <w:numPr>
          <w:ilvl w:val="3"/>
          <w:numId w:val="63"/>
        </w:numPr>
        <w:tabs>
          <w:tab w:val="left" w:pos="1721"/>
        </w:tabs>
        <w:spacing w:before="160"/>
        <w:ind w:left="1721" w:hanging="361"/>
        <w:rPr>
          <w:sz w:val="24"/>
        </w:rPr>
      </w:pPr>
      <w:r>
        <w:rPr>
          <w:rFonts w:hint="eastAsia"/>
          <w:spacing w:val="-4"/>
          <w:sz w:val="24"/>
        </w:rPr>
        <w:t xml:space="preserve">当采用电缆软管时，其长度不能超过 </w:t>
      </w:r>
      <w:r>
        <w:rPr>
          <w:rFonts w:hint="eastAsia"/>
          <w:sz w:val="24"/>
        </w:rPr>
        <w:t>1</w:t>
      </w:r>
      <w:r>
        <w:rPr>
          <w:rFonts w:hint="eastAsia"/>
          <w:spacing w:val="-20"/>
          <w:sz w:val="24"/>
        </w:rPr>
        <w:t xml:space="preserve"> 米。</w:t>
      </w:r>
    </w:p>
    <w:p>
      <w:pPr>
        <w:numPr>
          <w:ilvl w:val="3"/>
          <w:numId w:val="63"/>
        </w:numPr>
        <w:tabs>
          <w:tab w:val="left" w:pos="1721"/>
        </w:tabs>
        <w:spacing w:before="159" w:line="364" w:lineRule="auto"/>
        <w:ind w:left="880" w:right="905" w:firstLine="480"/>
        <w:rPr>
          <w:sz w:val="24"/>
        </w:rPr>
      </w:pPr>
      <w:r>
        <w:rPr>
          <w:rFonts w:hint="eastAsia"/>
          <w:spacing w:val="-1"/>
          <w:sz w:val="24"/>
        </w:rPr>
        <w:t>动力或控制线路用的悬挂或下垂的软电缆应设有应力释放中心芯线，其</w:t>
      </w:r>
      <w:r>
        <w:rPr>
          <w:rFonts w:hint="eastAsia"/>
          <w:sz w:val="24"/>
        </w:rPr>
        <w:t>两端应夹紧，以释放导线压力。</w:t>
      </w:r>
    </w:p>
    <w:p>
      <w:pPr>
        <w:pStyle w:val="8"/>
        <w:ind w:left="1320" w:firstLine="482"/>
      </w:pPr>
      <w:bookmarkStart w:id="64" w:name="3.11.9_电气接线注意事项"/>
      <w:bookmarkEnd w:id="64"/>
      <w:r>
        <w:rPr>
          <w:rFonts w:hint="eastAsia"/>
        </w:rPr>
        <w:t>电气接线注意事项</w:t>
      </w:r>
    </w:p>
    <w:p>
      <w:pPr>
        <w:pStyle w:val="9"/>
        <w:ind w:firstLine="482"/>
      </w:pPr>
      <w:r>
        <w:rPr>
          <w:rFonts w:hint="eastAsia"/>
        </w:rPr>
        <w:t>1）电气机柜的接线</w:t>
      </w:r>
    </w:p>
    <w:p>
      <w:pPr>
        <w:numPr>
          <w:ilvl w:val="0"/>
          <w:numId w:val="64"/>
        </w:numPr>
        <w:tabs>
          <w:tab w:val="left" w:pos="1721"/>
        </w:tabs>
        <w:spacing w:line="364" w:lineRule="auto"/>
        <w:ind w:left="880" w:right="905" w:firstLine="480"/>
        <w:rPr>
          <w:sz w:val="24"/>
        </w:rPr>
      </w:pPr>
      <w:r>
        <w:rPr>
          <w:rFonts w:hint="eastAsia"/>
          <w:spacing w:val="-1"/>
          <w:sz w:val="24"/>
        </w:rPr>
        <w:t>外部接线：可采用端子板或连接器。端子板或连接器应按出厂图纸对应</w:t>
      </w:r>
      <w:r>
        <w:rPr>
          <w:rFonts w:hint="eastAsia"/>
          <w:sz w:val="24"/>
        </w:rPr>
        <w:t>定位并打上永久标记。</w:t>
      </w:r>
    </w:p>
    <w:p>
      <w:pPr>
        <w:numPr>
          <w:ilvl w:val="0"/>
          <w:numId w:val="64"/>
        </w:numPr>
        <w:tabs>
          <w:tab w:val="left" w:pos="1721"/>
        </w:tabs>
        <w:spacing w:line="362" w:lineRule="auto"/>
        <w:ind w:left="880" w:right="905" w:firstLine="480"/>
        <w:rPr>
          <w:sz w:val="24"/>
        </w:rPr>
      </w:pPr>
      <w:r>
        <w:rPr>
          <w:rFonts w:hint="eastAsia"/>
          <w:spacing w:val="-1"/>
          <w:sz w:val="24"/>
        </w:rPr>
        <w:t>内部接线：内部接线的电缆或导线应满足机械强度、额定电流、动热稳</w:t>
      </w:r>
      <w:r>
        <w:rPr>
          <w:rFonts w:hint="eastAsia"/>
          <w:sz w:val="24"/>
        </w:rPr>
        <w:t>定性的要求。小电流线路优先选用单芯多股电缆。电气机柜中电缆载流能力应按规定标准考虑降容系数和环境温度。</w:t>
      </w:r>
    </w:p>
    <w:p>
      <w:pPr>
        <w:numPr>
          <w:ilvl w:val="0"/>
          <w:numId w:val="64"/>
        </w:numPr>
        <w:tabs>
          <w:tab w:val="left" w:pos="1721"/>
        </w:tabs>
        <w:spacing w:before="5" w:line="362" w:lineRule="auto"/>
        <w:ind w:left="880" w:right="905" w:firstLine="480"/>
        <w:rPr>
          <w:sz w:val="24"/>
        </w:rPr>
      </w:pPr>
      <w:r>
        <w:rPr>
          <w:rFonts w:hint="eastAsia"/>
          <w:spacing w:val="-1"/>
          <w:sz w:val="24"/>
        </w:rPr>
        <w:t>维修：机架内电气元件或装置的布置和接线应考虑便于拆卸、更换和维</w:t>
      </w:r>
      <w:r>
        <w:rPr>
          <w:rFonts w:hint="eastAsia"/>
          <w:sz w:val="24"/>
        </w:rPr>
        <w:t>修。</w:t>
      </w:r>
    </w:p>
    <w:p>
      <w:pPr>
        <w:pStyle w:val="9"/>
        <w:ind w:firstLine="482"/>
      </w:pPr>
      <w:r>
        <w:rPr>
          <w:rFonts w:hint="eastAsia"/>
        </w:rPr>
        <w:t>2）电缆接线</w:t>
      </w:r>
    </w:p>
    <w:p>
      <w:pPr>
        <w:numPr>
          <w:ilvl w:val="0"/>
          <w:numId w:val="65"/>
        </w:numPr>
        <w:tabs>
          <w:tab w:val="left" w:pos="1721"/>
        </w:tabs>
        <w:spacing w:before="160"/>
        <w:ind w:left="1721" w:hanging="361"/>
        <w:rPr>
          <w:sz w:val="24"/>
        </w:rPr>
      </w:pPr>
      <w:r>
        <w:rPr>
          <w:rFonts w:hint="eastAsia"/>
          <w:sz w:val="24"/>
        </w:rPr>
        <w:t>承包商提交的接线资料应清晰无误。</w:t>
      </w:r>
    </w:p>
    <w:p>
      <w:pPr>
        <w:rPr>
          <w:sz w:val="24"/>
        </w:rPr>
        <w:sectPr>
          <w:footerReference r:id="rId7" w:type="default"/>
          <w:pgSz w:w="11910" w:h="16840"/>
          <w:pgMar w:top="1380" w:right="920" w:bottom="1120" w:left="920" w:header="0" w:footer="927" w:gutter="0"/>
          <w:cols w:space="720" w:num="1"/>
        </w:sectPr>
      </w:pPr>
    </w:p>
    <w:p>
      <w:pPr>
        <w:numPr>
          <w:ilvl w:val="0"/>
          <w:numId w:val="65"/>
        </w:numPr>
        <w:tabs>
          <w:tab w:val="left" w:pos="1721"/>
        </w:tabs>
        <w:spacing w:before="43"/>
        <w:ind w:left="1721" w:hanging="361"/>
        <w:rPr>
          <w:sz w:val="24"/>
        </w:rPr>
      </w:pPr>
      <w:r>
        <w:rPr>
          <w:rFonts w:hint="eastAsia"/>
          <w:sz w:val="24"/>
        </w:rPr>
        <w:t>电缆长度适当，剩余电缆应卷在电缆盘上或放在设备内，并牢牢固定。</w:t>
      </w:r>
    </w:p>
    <w:p>
      <w:pPr>
        <w:numPr>
          <w:ilvl w:val="0"/>
          <w:numId w:val="65"/>
        </w:numPr>
        <w:tabs>
          <w:tab w:val="left" w:pos="1721"/>
        </w:tabs>
        <w:spacing w:before="160"/>
        <w:ind w:left="1721" w:hanging="361"/>
        <w:rPr>
          <w:sz w:val="24"/>
        </w:rPr>
      </w:pPr>
      <w:r>
        <w:rPr>
          <w:rFonts w:hint="eastAsia"/>
          <w:sz w:val="24"/>
        </w:rPr>
        <w:t>动力或控制线路所用的多芯和屏蔽电缆的芯线应易于按编号识别，少于</w:t>
      </w:r>
    </w:p>
    <w:p>
      <w:pPr>
        <w:spacing w:before="158" w:line="364" w:lineRule="auto"/>
        <w:ind w:left="880" w:right="965"/>
        <w:rPr>
          <w:sz w:val="24"/>
          <w:szCs w:val="24"/>
        </w:rPr>
      </w:pPr>
      <w:r>
        <w:rPr>
          <w:rFonts w:hint="eastAsia"/>
          <w:sz w:val="24"/>
          <w:szCs w:val="24"/>
        </w:rPr>
        <w:t>25</w:t>
      </w:r>
      <w:r>
        <w:rPr>
          <w:rFonts w:hint="eastAsia"/>
          <w:spacing w:val="-9"/>
          <w:sz w:val="24"/>
          <w:szCs w:val="24"/>
        </w:rPr>
        <w:t xml:space="preserve"> 芯的电缆才允许使用颜色代码，不得利用电缆敷设形式或顺序来识别电缆芯</w:t>
      </w:r>
      <w:r>
        <w:rPr>
          <w:rFonts w:hint="eastAsia"/>
          <w:sz w:val="24"/>
          <w:szCs w:val="24"/>
        </w:rPr>
        <w:t>线。</w:t>
      </w:r>
    </w:p>
    <w:p>
      <w:pPr>
        <w:numPr>
          <w:ilvl w:val="0"/>
          <w:numId w:val="65"/>
        </w:numPr>
        <w:tabs>
          <w:tab w:val="left" w:pos="1721"/>
        </w:tabs>
        <w:spacing w:line="364" w:lineRule="auto"/>
        <w:ind w:left="880" w:right="905" w:firstLine="480"/>
        <w:rPr>
          <w:sz w:val="24"/>
        </w:rPr>
      </w:pPr>
      <w:r>
        <w:rPr>
          <w:rFonts w:hint="eastAsia"/>
          <w:spacing w:val="-1"/>
          <w:sz w:val="24"/>
        </w:rPr>
        <w:t>标识：每根动力和控制电缆的两端的电缆编号应相同，并打上带有唯一</w:t>
      </w:r>
      <w:r>
        <w:rPr>
          <w:rFonts w:hint="eastAsia"/>
          <w:sz w:val="24"/>
        </w:rPr>
        <w:t>编号的永久标记。电缆编号应在接线图上表示出来。</w:t>
      </w:r>
    </w:p>
    <w:p>
      <w:pPr>
        <w:numPr>
          <w:ilvl w:val="0"/>
          <w:numId w:val="65"/>
        </w:numPr>
        <w:tabs>
          <w:tab w:val="left" w:pos="1721"/>
        </w:tabs>
        <w:spacing w:line="364" w:lineRule="auto"/>
        <w:ind w:left="880" w:right="1145" w:firstLine="480"/>
        <w:rPr>
          <w:sz w:val="24"/>
        </w:rPr>
      </w:pPr>
      <w:r>
        <w:rPr>
          <w:rFonts w:hint="eastAsia"/>
          <w:spacing w:val="-1"/>
          <w:sz w:val="24"/>
        </w:rPr>
        <w:t>余量：电缆卷筒应能容纳足够长度的电缆以满足有关设备总行程的要</w:t>
      </w:r>
      <w:r>
        <w:rPr>
          <w:rFonts w:hint="eastAsia"/>
          <w:sz w:val="24"/>
        </w:rPr>
        <w:t>求，其中包括到维修位置所需的行程。</w:t>
      </w:r>
    </w:p>
    <w:p>
      <w:pPr>
        <w:numPr>
          <w:ilvl w:val="0"/>
          <w:numId w:val="65"/>
        </w:numPr>
        <w:tabs>
          <w:tab w:val="left" w:pos="1721"/>
        </w:tabs>
        <w:spacing w:line="362" w:lineRule="auto"/>
        <w:ind w:left="880" w:right="905" w:firstLine="480"/>
        <w:rPr>
          <w:sz w:val="24"/>
        </w:rPr>
      </w:pPr>
      <w:r>
        <w:rPr>
          <w:rFonts w:hint="eastAsia"/>
          <w:spacing w:val="-1"/>
          <w:sz w:val="24"/>
        </w:rPr>
        <w:t>所有电缆进线设备上，包括电缆卷筒及滑环等应有适当的进线接头，以</w:t>
      </w:r>
      <w:r>
        <w:rPr>
          <w:rFonts w:hint="eastAsia"/>
          <w:sz w:val="24"/>
        </w:rPr>
        <w:t>便更换电缆。</w:t>
      </w:r>
    </w:p>
    <w:p>
      <w:pPr>
        <w:pStyle w:val="8"/>
        <w:ind w:left="1320" w:firstLine="482"/>
      </w:pPr>
      <w:bookmarkStart w:id="65" w:name="3.11.10_电气安全"/>
      <w:bookmarkEnd w:id="65"/>
      <w:r>
        <w:rPr>
          <w:rFonts w:hint="eastAsia"/>
          <w:lang w:val="en-US"/>
        </w:rPr>
        <w:t>10、</w:t>
      </w:r>
      <w:r>
        <w:rPr>
          <w:rFonts w:hint="eastAsia"/>
        </w:rPr>
        <w:t>电气安全</w:t>
      </w:r>
    </w:p>
    <w:p>
      <w:pPr>
        <w:pStyle w:val="9"/>
        <w:ind w:firstLine="482"/>
      </w:pPr>
      <w:r>
        <w:rPr>
          <w:rFonts w:hint="eastAsia"/>
        </w:rPr>
        <w:t>1）合适电压与标志</w:t>
      </w:r>
    </w:p>
    <w:p>
      <w:pPr>
        <w:spacing w:before="161" w:line="364" w:lineRule="auto"/>
        <w:ind w:left="880" w:right="1025" w:firstLine="480"/>
        <w:jc w:val="both"/>
        <w:rPr>
          <w:sz w:val="24"/>
          <w:szCs w:val="24"/>
        </w:rPr>
      </w:pPr>
      <w:r>
        <w:rPr>
          <w:rFonts w:hint="eastAsia"/>
          <w:spacing w:val="-15"/>
          <w:sz w:val="24"/>
          <w:szCs w:val="24"/>
        </w:rPr>
        <w:t xml:space="preserve">凡超过 </w:t>
      </w:r>
      <w:r>
        <w:rPr>
          <w:rFonts w:hint="eastAsia"/>
          <w:sz w:val="24"/>
          <w:szCs w:val="24"/>
        </w:rPr>
        <w:t>36V</w:t>
      </w:r>
      <w:r>
        <w:rPr>
          <w:rFonts w:hint="eastAsia"/>
          <w:spacing w:val="-13"/>
          <w:sz w:val="24"/>
          <w:szCs w:val="24"/>
        </w:rPr>
        <w:t xml:space="preserve"> 有效值的交流电压或 </w:t>
      </w:r>
      <w:r>
        <w:rPr>
          <w:rFonts w:hint="eastAsia"/>
          <w:sz w:val="24"/>
          <w:szCs w:val="24"/>
        </w:rPr>
        <w:t>60V</w:t>
      </w:r>
      <w:r>
        <w:rPr>
          <w:rFonts w:hint="eastAsia"/>
          <w:spacing w:val="-8"/>
          <w:sz w:val="24"/>
          <w:szCs w:val="24"/>
        </w:rPr>
        <w:t xml:space="preserve"> 无脉动的直流电压的电气设备</w:t>
      </w:r>
      <w:r>
        <w:rPr>
          <w:rFonts w:hint="eastAsia"/>
          <w:sz w:val="24"/>
          <w:szCs w:val="24"/>
        </w:rPr>
        <w:t>（</w:t>
      </w:r>
      <w:r>
        <w:rPr>
          <w:rFonts w:hint="eastAsia"/>
          <w:spacing w:val="-10"/>
          <w:sz w:val="24"/>
          <w:szCs w:val="24"/>
        </w:rPr>
        <w:t>含拆</w:t>
      </w:r>
      <w:r>
        <w:rPr>
          <w:rFonts w:hint="eastAsia"/>
          <w:sz w:val="24"/>
          <w:szCs w:val="24"/>
        </w:rPr>
        <w:t>卸模块、暴露的插头或插孔、未卸下护盖的区域），</w:t>
      </w:r>
      <w:r>
        <w:rPr>
          <w:rFonts w:hint="eastAsia"/>
          <w:spacing w:val="-2"/>
          <w:sz w:val="24"/>
          <w:szCs w:val="24"/>
        </w:rPr>
        <w:t>在正常状态下都不能裸露</w:t>
      </w:r>
      <w:r>
        <w:rPr>
          <w:rFonts w:hint="eastAsia"/>
          <w:sz w:val="24"/>
          <w:szCs w:val="24"/>
        </w:rPr>
        <w:t>触及。电气设备的护盖上应贴有警告字样和注明当前电压的标签。</w:t>
      </w:r>
    </w:p>
    <w:p>
      <w:pPr>
        <w:pStyle w:val="9"/>
        <w:ind w:firstLine="482"/>
      </w:pPr>
      <w:r>
        <w:rPr>
          <w:rFonts w:hint="eastAsia"/>
        </w:rPr>
        <w:t>2）带电部件的屏蔽</w:t>
      </w:r>
    </w:p>
    <w:p>
      <w:pPr>
        <w:spacing w:before="160" w:line="364" w:lineRule="auto"/>
        <w:ind w:left="880" w:right="905" w:firstLine="480"/>
        <w:rPr>
          <w:sz w:val="24"/>
          <w:szCs w:val="24"/>
        </w:rPr>
      </w:pPr>
      <w:r>
        <w:rPr>
          <w:rFonts w:hint="eastAsia"/>
          <w:spacing w:val="-15"/>
          <w:sz w:val="24"/>
          <w:szCs w:val="24"/>
        </w:rPr>
        <w:t xml:space="preserve">凡超过 </w:t>
      </w:r>
      <w:r>
        <w:rPr>
          <w:rFonts w:hint="eastAsia"/>
          <w:sz w:val="24"/>
          <w:szCs w:val="24"/>
        </w:rPr>
        <w:t>50V</w:t>
      </w:r>
      <w:r>
        <w:rPr>
          <w:rFonts w:hint="eastAsia"/>
          <w:spacing w:val="-13"/>
          <w:sz w:val="24"/>
          <w:szCs w:val="24"/>
        </w:rPr>
        <w:t xml:space="preserve"> 有效值的交流电压或 </w:t>
      </w:r>
      <w:r>
        <w:rPr>
          <w:rFonts w:hint="eastAsia"/>
          <w:sz w:val="24"/>
          <w:szCs w:val="24"/>
        </w:rPr>
        <w:t>120V</w:t>
      </w:r>
      <w:r>
        <w:rPr>
          <w:rFonts w:hint="eastAsia"/>
          <w:spacing w:val="-9"/>
          <w:sz w:val="24"/>
          <w:szCs w:val="24"/>
        </w:rPr>
        <w:t xml:space="preserve"> 无脉动直流电压的电气元件或装置的</w:t>
      </w:r>
      <w:r>
        <w:rPr>
          <w:rFonts w:hint="eastAsia"/>
          <w:sz w:val="24"/>
          <w:szCs w:val="24"/>
        </w:rPr>
        <w:t>外壳，应绝缘或接地进行安全屏蔽。拆卸单个护盖或单个屏蔽须用工具，以免无意中碰掉护盖和屏蔽，护盖和屏蔽都应贴上标签。</w:t>
      </w:r>
    </w:p>
    <w:p>
      <w:pPr>
        <w:pStyle w:val="9"/>
        <w:ind w:firstLine="482"/>
      </w:pPr>
      <w:r>
        <w:rPr>
          <w:rFonts w:hint="eastAsia"/>
        </w:rPr>
        <w:t>3）混合用电</w:t>
      </w:r>
    </w:p>
    <w:p>
      <w:pPr>
        <w:spacing w:before="161" w:line="364" w:lineRule="auto"/>
        <w:ind w:left="880" w:right="1025" w:firstLine="480"/>
        <w:jc w:val="both"/>
        <w:rPr>
          <w:sz w:val="24"/>
          <w:szCs w:val="24"/>
        </w:rPr>
      </w:pPr>
      <w:r>
        <w:rPr>
          <w:rFonts w:hint="eastAsia"/>
          <w:spacing w:val="-1"/>
          <w:sz w:val="24"/>
          <w:szCs w:val="24"/>
        </w:rPr>
        <w:t>在含有控制器、计算机、音频或类似低电压信号的电气机柜或部件中，同</w:t>
      </w:r>
      <w:r>
        <w:rPr>
          <w:rFonts w:hint="eastAsia"/>
          <w:spacing w:val="-10"/>
          <w:sz w:val="24"/>
          <w:szCs w:val="24"/>
        </w:rPr>
        <w:t xml:space="preserve">时含有超过 </w:t>
      </w:r>
      <w:r>
        <w:rPr>
          <w:rFonts w:hint="eastAsia"/>
          <w:sz w:val="24"/>
          <w:szCs w:val="24"/>
        </w:rPr>
        <w:t>110V</w:t>
      </w:r>
      <w:r>
        <w:rPr>
          <w:rFonts w:hint="eastAsia"/>
          <w:spacing w:val="-13"/>
          <w:sz w:val="24"/>
          <w:szCs w:val="24"/>
        </w:rPr>
        <w:t xml:space="preserve"> 有效值的交流电压或 </w:t>
      </w:r>
      <w:r>
        <w:rPr>
          <w:rFonts w:hint="eastAsia"/>
          <w:sz w:val="24"/>
          <w:szCs w:val="24"/>
        </w:rPr>
        <w:t>150V</w:t>
      </w:r>
      <w:r>
        <w:rPr>
          <w:rFonts w:hint="eastAsia"/>
          <w:spacing w:val="-9"/>
          <w:sz w:val="24"/>
          <w:szCs w:val="24"/>
        </w:rPr>
        <w:t xml:space="preserve"> 无脉动的直流电压时，在所有可拆</w:t>
      </w:r>
      <w:r>
        <w:rPr>
          <w:rFonts w:hint="eastAsia"/>
          <w:sz w:val="24"/>
          <w:szCs w:val="24"/>
        </w:rPr>
        <w:t>卸板上应有最高电压的清晰的警告标志。</w:t>
      </w:r>
    </w:p>
    <w:p>
      <w:pPr>
        <w:pStyle w:val="9"/>
        <w:ind w:firstLine="482"/>
      </w:pPr>
      <w:r>
        <w:rPr>
          <w:rFonts w:hint="eastAsia"/>
        </w:rPr>
        <w:t>4）多个电源</w:t>
      </w:r>
    </w:p>
    <w:p>
      <w:pPr>
        <w:spacing w:before="158" w:line="362" w:lineRule="auto"/>
        <w:ind w:left="880" w:right="1025" w:firstLine="480"/>
        <w:rPr>
          <w:sz w:val="24"/>
          <w:szCs w:val="24"/>
        </w:rPr>
      </w:pPr>
      <w:r>
        <w:rPr>
          <w:rFonts w:hint="eastAsia"/>
          <w:sz w:val="24"/>
          <w:szCs w:val="24"/>
        </w:rPr>
        <w:t>当设备有两个或两个以上电源时，各电源应分开，且有机械的或电气的闭锁装置，不得同时向同一设备供电。</w:t>
      </w:r>
    </w:p>
    <w:p>
      <w:pPr>
        <w:pStyle w:val="9"/>
        <w:ind w:firstLine="482"/>
      </w:pPr>
      <w:r>
        <w:rPr>
          <w:rFonts w:hint="eastAsia"/>
        </w:rPr>
        <w:t>5）接地</w:t>
      </w:r>
    </w:p>
    <w:p>
      <w:pPr>
        <w:spacing w:before="158" w:line="364" w:lineRule="auto"/>
        <w:ind w:left="880" w:right="1025" w:firstLine="480"/>
        <w:rPr>
          <w:sz w:val="24"/>
          <w:szCs w:val="24"/>
        </w:rPr>
      </w:pPr>
      <w:r>
        <w:rPr>
          <w:rFonts w:hint="eastAsia"/>
          <w:sz w:val="24"/>
          <w:szCs w:val="24"/>
        </w:rPr>
        <w:t>所有钢结构构件、机械设备、操作台（盘）、电气机柜、金属外罩、金属管以及设备部件都应有效地接地，并符合有关标准。</w:t>
      </w:r>
    </w:p>
    <w:p>
      <w:pPr>
        <w:pStyle w:val="9"/>
        <w:ind w:firstLine="482"/>
      </w:pPr>
      <w:r>
        <w:rPr>
          <w:rFonts w:hint="eastAsia"/>
        </w:rPr>
        <w:t>手持设备</w:t>
      </w:r>
    </w:p>
    <w:p>
      <w:pPr>
        <w:spacing w:before="158" w:line="364" w:lineRule="auto"/>
        <w:ind w:left="880" w:right="1025" w:firstLine="480"/>
        <w:rPr>
          <w:sz w:val="24"/>
          <w:szCs w:val="24"/>
        </w:rPr>
      </w:pPr>
      <w:r>
        <w:rPr>
          <w:rFonts w:hint="eastAsia"/>
          <w:sz w:val="24"/>
          <w:szCs w:val="24"/>
        </w:rPr>
        <w:t>专用手持或便携式设备，只要超过 35V 有效值的交流电压或 50V 无脉动的直流电压，且无双绝缘，都应进行双重接地。</w:t>
      </w:r>
    </w:p>
    <w:p>
      <w:pPr>
        <w:pStyle w:val="9"/>
        <w:ind w:firstLine="482"/>
      </w:pPr>
      <w:r>
        <w:rPr>
          <w:rFonts w:hint="eastAsia"/>
        </w:rPr>
        <w:t>7）电源隔离</w:t>
      </w:r>
    </w:p>
    <w:p>
      <w:pPr>
        <w:spacing w:before="160" w:line="364" w:lineRule="auto"/>
        <w:ind w:left="880" w:right="1025" w:firstLine="480"/>
        <w:jc w:val="both"/>
        <w:rPr>
          <w:sz w:val="24"/>
          <w:szCs w:val="24"/>
        </w:rPr>
      </w:pPr>
      <w:r>
        <w:rPr>
          <w:rFonts w:hint="eastAsia"/>
          <w:sz w:val="24"/>
          <w:szCs w:val="24"/>
        </w:rPr>
        <w:t>若电气设备的电源为非安全电压，则应在电气设备上或附近装设一个就地可切断电源的负荷开关（或断路器），以保证检修的安全。如为遥控设备，该设备上或附近应装一个就地可锁闭的负荷开关（或断路器）。电源隔离装置应打上标记以在隔离设备时不致出错。</w:t>
      </w:r>
    </w:p>
    <w:p>
      <w:pPr>
        <w:pStyle w:val="9"/>
        <w:ind w:firstLine="482"/>
      </w:pPr>
      <w:r>
        <w:rPr>
          <w:rFonts w:hint="eastAsia"/>
        </w:rPr>
        <w:t>8）电源接通指示</w:t>
      </w:r>
    </w:p>
    <w:p>
      <w:pPr>
        <w:spacing w:before="161" w:line="362" w:lineRule="auto"/>
        <w:ind w:left="880" w:right="905" w:firstLine="480"/>
        <w:rPr>
          <w:sz w:val="24"/>
          <w:szCs w:val="24"/>
        </w:rPr>
      </w:pPr>
      <w:r>
        <w:rPr>
          <w:rFonts w:hint="eastAsia"/>
          <w:spacing w:val="-7"/>
          <w:sz w:val="24"/>
          <w:szCs w:val="24"/>
        </w:rPr>
        <w:t xml:space="preserve">所有装有工作电压 </w:t>
      </w:r>
      <w:r>
        <w:rPr>
          <w:rFonts w:hint="eastAsia"/>
          <w:sz w:val="24"/>
          <w:szCs w:val="24"/>
        </w:rPr>
        <w:t>380VAC/22VAC</w:t>
      </w:r>
      <w:r>
        <w:rPr>
          <w:rFonts w:hint="eastAsia"/>
          <w:spacing w:val="-9"/>
          <w:sz w:val="24"/>
          <w:szCs w:val="24"/>
        </w:rPr>
        <w:t xml:space="preserve"> 的电气元件或装置的电气机柜，都要设置</w:t>
      </w:r>
      <w:r>
        <w:rPr>
          <w:rFonts w:hint="eastAsia"/>
          <w:sz w:val="24"/>
          <w:szCs w:val="24"/>
        </w:rPr>
        <w:t>较大的电源接通指示器，其位置要显眼，且接近视线高度。三相供电时，每相应设一单独指示器。</w:t>
      </w:r>
    </w:p>
    <w:p>
      <w:pPr>
        <w:pStyle w:val="9"/>
        <w:ind w:firstLine="482"/>
      </w:pPr>
      <w:r>
        <w:rPr>
          <w:rFonts w:hint="eastAsia"/>
        </w:rPr>
        <w:t>9）电压保护</w:t>
      </w:r>
    </w:p>
    <w:p>
      <w:pPr>
        <w:spacing w:before="160" w:line="362" w:lineRule="auto"/>
        <w:ind w:left="880" w:right="1025" w:firstLine="480"/>
        <w:rPr>
          <w:sz w:val="24"/>
          <w:szCs w:val="24"/>
        </w:rPr>
      </w:pPr>
      <w:r>
        <w:rPr>
          <w:rFonts w:hint="eastAsia"/>
          <w:sz w:val="24"/>
          <w:szCs w:val="24"/>
        </w:rPr>
        <w:t>电源或驱动装置应有相监控装置。电气设备应设有缺相、欠压、过电压保护。</w:t>
      </w:r>
    </w:p>
    <w:p>
      <w:pPr>
        <w:pStyle w:val="8"/>
        <w:ind w:left="1320" w:firstLine="482"/>
      </w:pPr>
      <w:bookmarkStart w:id="66" w:name="3.11.11_紧急停机系统"/>
      <w:bookmarkEnd w:id="66"/>
      <w:r>
        <w:rPr>
          <w:rFonts w:hint="eastAsia"/>
          <w:lang w:val="en-US"/>
        </w:rPr>
        <w:t>11、</w:t>
      </w:r>
      <w:r>
        <w:rPr>
          <w:rFonts w:hint="eastAsia"/>
        </w:rPr>
        <w:t>紧急停机系统</w:t>
      </w:r>
    </w:p>
    <w:p>
      <w:pPr>
        <w:pStyle w:val="9"/>
        <w:ind w:firstLine="482"/>
      </w:pPr>
      <w:r>
        <w:rPr>
          <w:rFonts w:hint="eastAsia"/>
        </w:rPr>
        <w:t>1）原则</w:t>
      </w:r>
    </w:p>
    <w:p>
      <w:pPr>
        <w:spacing w:before="5" w:line="364" w:lineRule="auto"/>
        <w:ind w:left="880" w:right="1025" w:firstLine="480"/>
        <w:jc w:val="both"/>
        <w:rPr>
          <w:sz w:val="24"/>
          <w:szCs w:val="24"/>
        </w:rPr>
      </w:pPr>
      <w:r>
        <w:rPr>
          <w:rFonts w:hint="eastAsia"/>
          <w:sz w:val="24"/>
          <w:szCs w:val="24"/>
        </w:rPr>
        <w:t>紧急停机系统的设计应安全可靠，并符合有关标准。在舞台的任何区域启动紧急停机系统都将使该区域的电动舞台设备（除非另有规定）断电并安全而迅速的停机。</w:t>
      </w:r>
    </w:p>
    <w:p>
      <w:pPr>
        <w:pStyle w:val="9"/>
        <w:ind w:firstLine="482"/>
      </w:pPr>
      <w:r>
        <w:rPr>
          <w:rFonts w:hint="eastAsia"/>
        </w:rPr>
        <w:t>2）结构规定</w:t>
      </w:r>
    </w:p>
    <w:p>
      <w:pPr>
        <w:spacing w:before="161" w:line="362" w:lineRule="auto"/>
        <w:ind w:left="880" w:right="1025" w:firstLine="480"/>
        <w:rPr>
          <w:sz w:val="24"/>
          <w:szCs w:val="24"/>
        </w:rPr>
      </w:pPr>
      <w:r>
        <w:rPr>
          <w:rFonts w:hint="eastAsia"/>
          <w:sz w:val="24"/>
          <w:szCs w:val="24"/>
        </w:rPr>
        <w:t>紧急停机按钮应是具有压动和扭松机构的红色大蘑菇型停止按钮。任何时候和任何情况下，只有操作紧急停机按钮就应能起动紧急停机线路。</w:t>
      </w:r>
    </w:p>
    <w:p>
      <w:pPr>
        <w:pStyle w:val="9"/>
        <w:ind w:firstLine="482"/>
      </w:pPr>
      <w:r>
        <w:rPr>
          <w:rFonts w:hint="eastAsia"/>
        </w:rPr>
        <w:t>3）安装位置</w:t>
      </w:r>
    </w:p>
    <w:p>
      <w:pPr>
        <w:spacing w:before="160" w:line="362" w:lineRule="auto"/>
        <w:ind w:left="880" w:right="1025" w:firstLine="480"/>
        <w:jc w:val="both"/>
        <w:rPr>
          <w:sz w:val="24"/>
          <w:szCs w:val="24"/>
        </w:rPr>
      </w:pPr>
      <w:r>
        <w:rPr>
          <w:rFonts w:hint="eastAsia"/>
          <w:sz w:val="24"/>
          <w:szCs w:val="24"/>
        </w:rPr>
        <w:t>紧急停机按钮应安装在能观察到设备运动可能对人员有危险的位置上。紧急停机按钮应独立安装在该区域人员易于看见和操作的地方，但不得安装在可能被偶然按压的地方。</w:t>
      </w:r>
    </w:p>
    <w:p>
      <w:pPr>
        <w:pStyle w:val="9"/>
        <w:ind w:firstLine="482"/>
      </w:pPr>
      <w:r>
        <w:rPr>
          <w:rFonts w:hint="eastAsia"/>
        </w:rPr>
        <w:t>4）状态指示</w:t>
      </w:r>
    </w:p>
    <w:p>
      <w:pPr>
        <w:spacing w:before="159" w:line="364" w:lineRule="auto"/>
        <w:ind w:left="880" w:right="1025" w:firstLine="480"/>
        <w:jc w:val="both"/>
        <w:rPr>
          <w:sz w:val="24"/>
          <w:szCs w:val="24"/>
        </w:rPr>
      </w:pPr>
      <w:r>
        <w:rPr>
          <w:rFonts w:hint="eastAsia"/>
          <w:sz w:val="24"/>
          <w:szCs w:val="24"/>
        </w:rPr>
        <w:t>紧急停机按钮应内置或就近安装指示器。控制系统应监控各紧急停机按钮的状态。紧急停机系统启动时，该区域内的所有受控设备的电源指示器应缓慢闪烁。</w:t>
      </w:r>
    </w:p>
    <w:p>
      <w:pPr>
        <w:pStyle w:val="9"/>
        <w:ind w:firstLine="482"/>
      </w:pPr>
      <w:r>
        <w:rPr>
          <w:rFonts w:hint="eastAsia"/>
        </w:rPr>
        <w:t>5）复位条件</w:t>
      </w:r>
    </w:p>
    <w:p>
      <w:pPr>
        <w:spacing w:before="160" w:line="364" w:lineRule="auto"/>
        <w:ind w:left="880" w:right="1025" w:firstLine="480"/>
        <w:jc w:val="both"/>
        <w:rPr>
          <w:sz w:val="24"/>
          <w:szCs w:val="24"/>
        </w:rPr>
      </w:pPr>
      <w:r>
        <w:rPr>
          <w:rFonts w:hint="eastAsia"/>
          <w:sz w:val="24"/>
          <w:szCs w:val="24"/>
        </w:rPr>
        <w:t>紧急停机系统应由紧急停机按钮本身的扭松机构或其它规定复位。控制系统的设计都应考虑到紧急停机状态的取消本身不能引起任何设备运动，所有设备在按正常操作程序重新启动之前都将保持停机状态。</w:t>
      </w:r>
    </w:p>
    <w:p>
      <w:pPr>
        <w:pStyle w:val="8"/>
        <w:ind w:left="1320" w:firstLine="482"/>
      </w:pPr>
      <w:bookmarkStart w:id="67" w:name="3.12、控制与操作"/>
      <w:bookmarkEnd w:id="67"/>
      <w:r>
        <w:rPr>
          <w:rFonts w:hint="eastAsia"/>
          <w:lang w:val="en-US"/>
        </w:rPr>
        <w:t>12、</w:t>
      </w:r>
      <w:r>
        <w:rPr>
          <w:rFonts w:hint="eastAsia"/>
        </w:rPr>
        <w:t>控制与操作</w:t>
      </w:r>
    </w:p>
    <w:p>
      <w:pPr>
        <w:pStyle w:val="9"/>
        <w:ind w:firstLine="482"/>
      </w:pPr>
      <w:bookmarkStart w:id="68" w:name="3.12.1_控制系统"/>
      <w:bookmarkEnd w:id="68"/>
      <w:r>
        <w:rPr>
          <w:rFonts w:hint="eastAsia"/>
          <w:lang w:val="en-US"/>
        </w:rPr>
        <w:t>1）</w:t>
      </w:r>
      <w:r>
        <w:rPr>
          <w:rFonts w:hint="eastAsia"/>
        </w:rPr>
        <w:t>控制系统</w:t>
      </w:r>
    </w:p>
    <w:p>
      <w:pPr>
        <w:spacing w:before="158" w:line="364" w:lineRule="auto"/>
        <w:ind w:left="880" w:right="1025" w:firstLine="480"/>
        <w:jc w:val="both"/>
        <w:rPr>
          <w:sz w:val="24"/>
          <w:szCs w:val="24"/>
        </w:rPr>
      </w:pPr>
      <w:r>
        <w:rPr>
          <w:rFonts w:hint="eastAsia"/>
          <w:sz w:val="24"/>
          <w:szCs w:val="24"/>
        </w:rPr>
        <w:t>承包商提供的舞台机械设备控制系统，应对剧场内所有的舞台机械设备的驱动装置和现场传感器等实施运行控制、状态监视；并提供操作界面和操作方法，保证设备及人员安全、配备维护及检修手段等。承包商应投标书中详细阐述所推荐的控制系统的主要功能、特点和实现其功能的配置。</w:t>
      </w:r>
    </w:p>
    <w:p>
      <w:pPr>
        <w:pStyle w:val="9"/>
        <w:ind w:firstLine="482"/>
      </w:pPr>
      <w:r>
        <w:rPr>
          <w:rFonts w:hint="eastAsia"/>
          <w:lang w:val="en-US"/>
        </w:rPr>
        <w:t>2）</w:t>
      </w:r>
      <w:r>
        <w:rPr>
          <w:rFonts w:hint="eastAsia"/>
        </w:rPr>
        <w:t>控制系统的总体要求</w:t>
      </w:r>
    </w:p>
    <w:p>
      <w:pPr>
        <w:spacing w:before="160" w:line="364" w:lineRule="auto"/>
        <w:ind w:left="880" w:right="1025" w:firstLine="480"/>
        <w:jc w:val="both"/>
        <w:rPr>
          <w:sz w:val="24"/>
          <w:szCs w:val="24"/>
        </w:rPr>
      </w:pPr>
      <w:r>
        <w:rPr>
          <w:rFonts w:hint="eastAsia"/>
          <w:sz w:val="24"/>
          <w:szCs w:val="24"/>
        </w:rPr>
        <w:t>承包商提供的控制系统必须已经可靠性测试及充分的论证，证明可以完成所要求的功能。同时还必须满足本技术规范要求。控制系统应能稳定、安全、可靠地监控分散在舞台机械设备，并满足装台、排练、演出对舞台机械设备的控制和操作要求。</w:t>
      </w:r>
    </w:p>
    <w:p>
      <w:pPr>
        <w:pStyle w:val="9"/>
        <w:ind w:firstLine="482"/>
      </w:pPr>
      <w:r>
        <w:rPr>
          <w:rFonts w:hint="eastAsia"/>
          <w:lang w:val="en-US"/>
        </w:rPr>
        <w:t>3）</w:t>
      </w:r>
      <w:r>
        <w:rPr>
          <w:rFonts w:hint="eastAsia"/>
        </w:rPr>
        <w:t>单体设备的控制</w:t>
      </w:r>
    </w:p>
    <w:p>
      <w:pPr>
        <w:spacing w:before="161" w:line="364" w:lineRule="auto"/>
        <w:ind w:left="880" w:right="1025" w:firstLine="480"/>
        <w:jc w:val="both"/>
        <w:rPr>
          <w:sz w:val="24"/>
          <w:szCs w:val="24"/>
        </w:rPr>
      </w:pPr>
      <w:r>
        <w:rPr>
          <w:rFonts w:hint="eastAsia"/>
          <w:sz w:val="24"/>
          <w:szCs w:val="24"/>
        </w:rPr>
        <w:t>控制系统应高速实时监视设备运动的参数（速度、位置、限位、负载等信号），各设备应按设定的运动参数和内置于控制系统中的保护措施运行，以保证设备安全，并满足定位精度和同步精度的要求。当有紧急情况发生或运动误差超过允许范围时，应采取有效的措施。设备运行的距离必须受到行程终止限位开关或超程限位开关的控制。</w:t>
      </w:r>
    </w:p>
    <w:p>
      <w:pPr>
        <w:spacing w:line="364" w:lineRule="auto"/>
        <w:ind w:left="880" w:right="1025" w:firstLine="480"/>
        <w:jc w:val="both"/>
        <w:rPr>
          <w:sz w:val="24"/>
          <w:szCs w:val="24"/>
        </w:rPr>
      </w:pPr>
      <w:r>
        <w:rPr>
          <w:rFonts w:hint="eastAsia"/>
          <w:sz w:val="24"/>
          <w:szCs w:val="24"/>
        </w:rPr>
        <w:t>单体设备的控制装置应相互独立，即对应某设备的控制装置出现故障时， 不影响其它设备的运转。传动轴的两个抱闸可分别操作和控制，其中一个抱闸可稍有延迟动作。</w:t>
      </w:r>
    </w:p>
    <w:p>
      <w:pPr>
        <w:spacing w:before="12"/>
        <w:rPr>
          <w:sz w:val="35"/>
          <w:szCs w:val="24"/>
        </w:rPr>
      </w:pPr>
    </w:p>
    <w:p>
      <w:pPr>
        <w:pStyle w:val="8"/>
        <w:ind w:left="1320" w:firstLine="482"/>
      </w:pPr>
      <w:r>
        <w:rPr>
          <w:rFonts w:hint="eastAsia"/>
          <w:lang w:val="en-US"/>
        </w:rPr>
        <w:t>13、</w:t>
      </w:r>
      <w:r>
        <w:rPr>
          <w:rFonts w:hint="eastAsia"/>
        </w:rPr>
        <w:t>控制系统的组成</w:t>
      </w:r>
    </w:p>
    <w:p>
      <w:pPr>
        <w:spacing w:before="161" w:line="364" w:lineRule="auto"/>
        <w:ind w:left="880" w:right="1025" w:firstLine="480"/>
        <w:jc w:val="both"/>
        <w:rPr>
          <w:sz w:val="24"/>
          <w:szCs w:val="24"/>
        </w:rPr>
      </w:pPr>
      <w:r>
        <w:rPr>
          <w:rFonts w:hint="eastAsia"/>
          <w:sz w:val="24"/>
          <w:szCs w:val="24"/>
        </w:rPr>
        <w:t>控制系统应提供对舞台机械设备的不同控制方式。控制系统的不同控制方式在满足下面基本要求的前提下，承包商可根据各自的经验并结合当前技术的发展来合理地构成。</w:t>
      </w:r>
    </w:p>
    <w:p>
      <w:pPr>
        <w:pStyle w:val="9"/>
        <w:ind w:firstLine="482"/>
      </w:pPr>
      <w:r>
        <w:rPr>
          <w:rFonts w:hint="eastAsia"/>
          <w:lang w:val="en-US"/>
        </w:rPr>
        <w:t>1）</w:t>
      </w:r>
      <w:r>
        <w:rPr>
          <w:rFonts w:hint="eastAsia"/>
        </w:rPr>
        <w:t>主控制系统</w:t>
      </w:r>
    </w:p>
    <w:p>
      <w:pPr>
        <w:spacing w:before="43" w:line="364" w:lineRule="auto"/>
        <w:ind w:left="880" w:right="1025" w:firstLine="480"/>
        <w:rPr>
          <w:sz w:val="24"/>
          <w:szCs w:val="24"/>
        </w:rPr>
      </w:pPr>
      <w:r>
        <w:rPr>
          <w:rFonts w:hint="eastAsia"/>
          <w:sz w:val="24"/>
          <w:szCs w:val="24"/>
        </w:rPr>
        <w:t>主控制系统应由多个标准的可编程序控制器或轴控制器和计算机用网络总线方式构成，并可以高速实时地监控。</w:t>
      </w:r>
    </w:p>
    <w:p>
      <w:pPr>
        <w:spacing w:line="364" w:lineRule="auto"/>
        <w:ind w:left="880" w:right="1025" w:firstLine="480"/>
        <w:rPr>
          <w:sz w:val="24"/>
          <w:szCs w:val="24"/>
        </w:rPr>
      </w:pPr>
      <w:r>
        <w:rPr>
          <w:rFonts w:hint="eastAsia"/>
          <w:sz w:val="24"/>
          <w:szCs w:val="24"/>
        </w:rPr>
        <w:t xml:space="preserve">主控制系统应提供正常情况下的全功能控制与操作，包括单体设备的控 </w:t>
      </w:r>
      <w:r>
        <w:rPr>
          <w:rFonts w:hint="eastAsia"/>
          <w:spacing w:val="-1"/>
          <w:sz w:val="24"/>
          <w:szCs w:val="24"/>
        </w:rPr>
        <w:t>制、设备联锁、设备状态监视、预选择设备、设定运动参数、编组运行、场景记忆、场景序列、故障诊断、系统维护、互联网的联机操作向导等。主要操作</w:t>
      </w:r>
      <w:r>
        <w:rPr>
          <w:rFonts w:hint="eastAsia"/>
          <w:sz w:val="24"/>
          <w:szCs w:val="24"/>
        </w:rPr>
        <w:t>以屏幕窗口、图形、表格方式结合功能键盘或鼠标，并有适当的手动介入功 能：可灵活进行返回、重复、跳跃和连续运行等操作。</w:t>
      </w:r>
    </w:p>
    <w:p>
      <w:pPr>
        <w:spacing w:line="364" w:lineRule="auto"/>
        <w:ind w:left="880" w:right="1025" w:firstLine="480"/>
        <w:rPr>
          <w:sz w:val="24"/>
          <w:szCs w:val="24"/>
        </w:rPr>
      </w:pPr>
      <w:r>
        <w:rPr>
          <w:rFonts w:hint="eastAsia"/>
          <w:spacing w:val="-1"/>
          <w:sz w:val="24"/>
          <w:szCs w:val="24"/>
        </w:rPr>
        <w:t>为了充分满足装台、排练、演出等各种控制与操作要求，主控制系统的操</w:t>
      </w:r>
      <w:r>
        <w:rPr>
          <w:rFonts w:hint="eastAsia"/>
          <w:sz w:val="24"/>
          <w:szCs w:val="24"/>
        </w:rPr>
        <w:t xml:space="preserve">作设备应是多个操作台（盘）的组合，至少应包括：主操作台、移动式操作 </w:t>
      </w:r>
      <w:r>
        <w:rPr>
          <w:rFonts w:hint="eastAsia"/>
          <w:spacing w:val="-1"/>
          <w:sz w:val="24"/>
          <w:szCs w:val="24"/>
        </w:rPr>
        <w:t>盘、便携式操作盘、垂吊式操作盘，以方便在主控制室、舞台台面、台下、观</w:t>
      </w:r>
      <w:r>
        <w:rPr>
          <w:rFonts w:hint="eastAsia"/>
          <w:sz w:val="24"/>
          <w:szCs w:val="24"/>
        </w:rPr>
        <w:t>众厅、各层天桥、栅顶等不同位置完成对设备运行的监控。</w:t>
      </w:r>
    </w:p>
    <w:p>
      <w:pPr>
        <w:pStyle w:val="9"/>
        <w:ind w:firstLine="482"/>
      </w:pPr>
      <w:r>
        <w:rPr>
          <w:rFonts w:hint="eastAsia"/>
          <w:lang w:val="en-US"/>
        </w:rPr>
        <w:t>2）</w:t>
      </w:r>
      <w:r>
        <w:rPr>
          <w:rFonts w:hint="eastAsia"/>
        </w:rPr>
        <w:t>紧急控制系统</w:t>
      </w:r>
    </w:p>
    <w:p>
      <w:pPr>
        <w:spacing w:before="157" w:line="364" w:lineRule="auto"/>
        <w:ind w:left="880" w:right="1025" w:firstLine="480"/>
        <w:jc w:val="both"/>
        <w:rPr>
          <w:sz w:val="24"/>
          <w:szCs w:val="24"/>
        </w:rPr>
      </w:pPr>
      <w:r>
        <w:rPr>
          <w:rFonts w:hint="eastAsia"/>
          <w:sz w:val="24"/>
          <w:szCs w:val="24"/>
        </w:rPr>
        <w:t>紧急控制系统应提供在设备旁就地控制的功能，就地控制可在现场控制器或附近电气机柜面板上进行控制，可完成对单台设备的单独运行控制。这种控制功能的实现不应受到来自主控制系统的任何影响。</w:t>
      </w:r>
    </w:p>
    <w:p>
      <w:pPr>
        <w:pStyle w:val="8"/>
        <w:ind w:left="1320" w:firstLine="482"/>
      </w:pPr>
      <w:r>
        <w:rPr>
          <w:rFonts w:hint="eastAsia"/>
          <w:lang w:val="en-US"/>
        </w:rPr>
        <w:t>14、</w:t>
      </w:r>
      <w:r>
        <w:rPr>
          <w:rFonts w:hint="eastAsia"/>
        </w:rPr>
        <w:t>安全要求</w:t>
      </w:r>
    </w:p>
    <w:p>
      <w:pPr>
        <w:pStyle w:val="9"/>
        <w:ind w:firstLine="482"/>
      </w:pPr>
      <w:r>
        <w:rPr>
          <w:rFonts w:hint="eastAsia"/>
          <w:lang w:val="en-US"/>
        </w:rPr>
        <w:t>1）</w:t>
      </w:r>
      <w:r>
        <w:rPr>
          <w:rFonts w:hint="eastAsia"/>
        </w:rPr>
        <w:t>人员授权</w:t>
      </w:r>
    </w:p>
    <w:p>
      <w:pPr>
        <w:spacing w:before="158" w:line="364" w:lineRule="auto"/>
        <w:ind w:left="880" w:right="1025" w:firstLine="480"/>
        <w:jc w:val="both"/>
        <w:rPr>
          <w:sz w:val="24"/>
          <w:szCs w:val="24"/>
        </w:rPr>
      </w:pPr>
      <w:r>
        <w:rPr>
          <w:rFonts w:hint="eastAsia"/>
          <w:sz w:val="24"/>
          <w:szCs w:val="24"/>
        </w:rPr>
        <w:t>对主控制系统的操作应由经授权和培训的人员来进行。进入主操作如、移动式操作盘、便携式操作盘需要有不同级别的操作识别码，进入主操作如需要更高级别的识别码。不同区域的操作人员可以凭不同级别的识别码进入相应区域的操作盘。识别不同操作级别方式应是键入密码。</w:t>
      </w:r>
    </w:p>
    <w:p>
      <w:pPr>
        <w:pStyle w:val="9"/>
        <w:ind w:firstLine="482"/>
      </w:pPr>
      <w:r>
        <w:rPr>
          <w:rFonts w:hint="eastAsia"/>
          <w:lang w:val="en-US"/>
        </w:rPr>
        <w:t>2）</w:t>
      </w:r>
      <w:r>
        <w:rPr>
          <w:rFonts w:hint="eastAsia"/>
        </w:rPr>
        <w:t>操作设备的权限</w:t>
      </w:r>
    </w:p>
    <w:p>
      <w:pPr>
        <w:spacing w:before="160" w:line="364" w:lineRule="auto"/>
        <w:ind w:left="880" w:right="1025" w:firstLine="480"/>
        <w:jc w:val="both"/>
        <w:rPr>
          <w:sz w:val="24"/>
          <w:szCs w:val="24"/>
        </w:rPr>
      </w:pPr>
      <w:r>
        <w:rPr>
          <w:rFonts w:hint="eastAsia"/>
          <w:sz w:val="24"/>
          <w:szCs w:val="24"/>
        </w:rPr>
        <w:t>主操作台的控制权限应该是最高的，主操作台可以“冻结”所有移动式、便携式垂吊式操作盘的操作。所有操作盘之间的操作不能互相冲突，当其中一处选择某设备运行时系统必须禁止在其他地方再选择该设备运行。</w:t>
      </w:r>
    </w:p>
    <w:p>
      <w:pPr>
        <w:spacing w:line="364" w:lineRule="auto"/>
        <w:ind w:left="880" w:right="1025" w:firstLine="480"/>
        <w:rPr>
          <w:sz w:val="24"/>
          <w:szCs w:val="24"/>
        </w:rPr>
      </w:pPr>
      <w:r>
        <w:rPr>
          <w:rFonts w:hint="eastAsia"/>
          <w:sz w:val="24"/>
          <w:szCs w:val="24"/>
        </w:rPr>
        <w:t>操作盘之间的互斥性及不同操作位置对同一设备的控制调用，都应该在主操作台上高亮度显示出来，以引起操作人员的注意。</w:t>
      </w:r>
    </w:p>
    <w:p>
      <w:pPr>
        <w:pStyle w:val="9"/>
        <w:ind w:firstLine="482"/>
        <w:rPr>
          <w:bCs w:val="0"/>
        </w:rPr>
      </w:pPr>
      <w:r>
        <w:rPr>
          <w:rFonts w:hint="eastAsia"/>
          <w:lang w:val="en-US"/>
        </w:rPr>
        <w:t>3）</w:t>
      </w:r>
      <w:r>
        <w:rPr>
          <w:rFonts w:hint="eastAsia"/>
        </w:rPr>
        <w:t>运行确认按钮和运行指示系统</w:t>
      </w:r>
    </w:p>
    <w:p>
      <w:pPr>
        <w:spacing w:before="158" w:line="364" w:lineRule="auto"/>
        <w:ind w:left="880" w:right="1025" w:firstLine="480"/>
        <w:rPr>
          <w:sz w:val="24"/>
          <w:szCs w:val="24"/>
        </w:rPr>
      </w:pPr>
      <w:r>
        <w:rPr>
          <w:rFonts w:hint="eastAsia"/>
          <w:sz w:val="24"/>
          <w:szCs w:val="24"/>
        </w:rPr>
        <w:t>在主操作台和舞台工作区都必须装设运行确认按钮，运行确认按钮接入到控制系统内。当操作台（盘）发出设备的运行指令时，现场负责人员在确认无</w:t>
      </w:r>
    </w:p>
    <w:p>
      <w:pPr>
        <w:spacing w:before="43" w:line="364" w:lineRule="auto"/>
        <w:ind w:left="880" w:right="1265"/>
        <w:rPr>
          <w:sz w:val="24"/>
          <w:szCs w:val="24"/>
        </w:rPr>
      </w:pPr>
      <w:r>
        <w:rPr>
          <w:rFonts w:hint="eastAsia"/>
          <w:sz w:val="24"/>
          <w:szCs w:val="24"/>
        </w:rPr>
        <w:t>关人员和阻碍物都已经清空后，按下相应的运行确认按钮，受控设备开始运动。</w:t>
      </w:r>
    </w:p>
    <w:p>
      <w:pPr>
        <w:spacing w:line="364" w:lineRule="auto"/>
        <w:ind w:left="880" w:right="1025" w:firstLine="480"/>
        <w:jc w:val="both"/>
        <w:rPr>
          <w:sz w:val="24"/>
          <w:szCs w:val="24"/>
        </w:rPr>
      </w:pPr>
      <w:r>
        <w:rPr>
          <w:rFonts w:hint="eastAsia"/>
          <w:sz w:val="24"/>
          <w:szCs w:val="24"/>
        </w:rPr>
        <w:t>在舞台平面台下基坑平面等所有工作区，必须安装可靠的运行指示系统。运行指示系统应安装在容易被操作人员看到，但不影响舞台演出效果的地方。运行指示灯的安装位置应考虑舞台景区的划分。</w:t>
      </w:r>
    </w:p>
    <w:p>
      <w:pPr>
        <w:pStyle w:val="9"/>
        <w:ind w:firstLine="482"/>
      </w:pPr>
      <w:bookmarkStart w:id="69" w:name="3.12.2_操作系统"/>
      <w:bookmarkEnd w:id="69"/>
      <w:r>
        <w:rPr>
          <w:rFonts w:hint="eastAsia"/>
          <w:lang w:val="en-US"/>
        </w:rPr>
        <w:t>4)</w:t>
      </w:r>
      <w:r>
        <w:rPr>
          <w:rFonts w:hint="eastAsia"/>
        </w:rPr>
        <w:t>操作系统</w:t>
      </w:r>
    </w:p>
    <w:p>
      <w:pPr>
        <w:spacing w:before="157" w:line="364" w:lineRule="auto"/>
        <w:ind w:left="880" w:right="1025" w:firstLine="480"/>
        <w:jc w:val="both"/>
        <w:rPr>
          <w:sz w:val="24"/>
          <w:szCs w:val="24"/>
        </w:rPr>
      </w:pPr>
      <w:r>
        <w:rPr>
          <w:rFonts w:hint="eastAsia"/>
          <w:sz w:val="24"/>
          <w:szCs w:val="24"/>
        </w:rPr>
        <w:t>操作人员通过对控制系统硬件及软件的逻辑组合所形成的功能进行应用， 包括预选择设备、设备运动参数的设定、编组运行、场景记忆、场景序列以及手动介入功能等。</w:t>
      </w:r>
    </w:p>
    <w:p>
      <w:pPr>
        <w:pStyle w:val="8"/>
        <w:ind w:left="1320" w:firstLine="482"/>
      </w:pPr>
      <w:r>
        <w:rPr>
          <w:rFonts w:hint="eastAsia"/>
          <w:lang w:val="en-US"/>
        </w:rPr>
        <w:t>15、</w:t>
      </w:r>
      <w:r>
        <w:rPr>
          <w:rFonts w:hint="eastAsia"/>
        </w:rPr>
        <w:t>操作功能逻辑</w:t>
      </w:r>
    </w:p>
    <w:p>
      <w:pPr>
        <w:spacing w:before="158" w:line="364" w:lineRule="auto"/>
        <w:ind w:left="880" w:right="1025" w:firstLine="480"/>
        <w:jc w:val="both"/>
        <w:rPr>
          <w:sz w:val="24"/>
          <w:szCs w:val="24"/>
        </w:rPr>
      </w:pPr>
      <w:r>
        <w:rPr>
          <w:rFonts w:hint="eastAsia"/>
          <w:sz w:val="24"/>
          <w:szCs w:val="24"/>
        </w:rPr>
        <w:t>控制及显示的逻辑必须清楚易懂，并在整个控制系统中保持绝对一致。要求控制系统的操作是安全的、迅速的。在演出过程中的场景转换的操作应是不影响场景效果的简单且迅速的操作方式。</w:t>
      </w:r>
    </w:p>
    <w:p>
      <w:pPr>
        <w:pStyle w:val="9"/>
        <w:ind w:firstLine="482"/>
        <w:rPr>
          <w:bCs w:val="0"/>
        </w:rPr>
      </w:pPr>
      <w:r>
        <w:rPr>
          <w:rFonts w:hint="eastAsia"/>
          <w:lang w:val="en-US"/>
        </w:rPr>
        <w:t>1）</w:t>
      </w:r>
      <w:r>
        <w:rPr>
          <w:rFonts w:hint="eastAsia"/>
        </w:rPr>
        <w:t>操作及预设定</w:t>
      </w:r>
    </w:p>
    <w:p>
      <w:pPr>
        <w:numPr>
          <w:ilvl w:val="0"/>
          <w:numId w:val="48"/>
        </w:numPr>
        <w:tabs>
          <w:tab w:val="left" w:pos="1720"/>
        </w:tabs>
        <w:spacing w:before="160" w:line="364" w:lineRule="auto"/>
        <w:ind w:left="880" w:right="905" w:firstLine="480"/>
        <w:rPr>
          <w:sz w:val="24"/>
        </w:rPr>
      </w:pPr>
      <w:r>
        <w:rPr>
          <w:rFonts w:hint="eastAsia"/>
          <w:spacing w:val="-1"/>
          <w:sz w:val="24"/>
        </w:rPr>
        <w:t>所有操作盘都应该能够对被控设备进行预选择和运动参数的设定，并提</w:t>
      </w:r>
      <w:r>
        <w:rPr>
          <w:rFonts w:hint="eastAsia"/>
          <w:sz w:val="24"/>
        </w:rPr>
        <w:t>供设备状态的清晰指示，并且指示出当所有联锁和安全条件都满足时，预选择的设备动作可以执行。</w:t>
      </w:r>
    </w:p>
    <w:p>
      <w:pPr>
        <w:numPr>
          <w:ilvl w:val="0"/>
          <w:numId w:val="48"/>
        </w:numPr>
        <w:tabs>
          <w:tab w:val="left" w:pos="1720"/>
        </w:tabs>
        <w:spacing w:line="364" w:lineRule="auto"/>
        <w:ind w:left="880" w:right="905" w:firstLine="480"/>
        <w:rPr>
          <w:sz w:val="24"/>
        </w:rPr>
      </w:pPr>
      <w:r>
        <w:rPr>
          <w:rFonts w:hint="eastAsia"/>
          <w:spacing w:val="-1"/>
          <w:sz w:val="24"/>
        </w:rPr>
        <w:t>当要完成多个设备或设备组顺序动作时，应可以先设定各独立的设备运</w:t>
      </w:r>
      <w:r>
        <w:rPr>
          <w:rFonts w:hint="eastAsia"/>
          <w:sz w:val="24"/>
        </w:rPr>
        <w:t>动，再记录为设备组：只有在上一个设备或设备组动作完成后，才可以起动下一个；下一个动作的起动必须用“准备好”或“可用”等指示器提示操作人</w:t>
      </w:r>
    </w:p>
    <w:p>
      <w:pPr>
        <w:spacing w:line="307" w:lineRule="exact"/>
        <w:ind w:left="880"/>
        <w:rPr>
          <w:sz w:val="24"/>
          <w:szCs w:val="24"/>
        </w:rPr>
      </w:pPr>
      <w:r>
        <w:rPr>
          <w:rFonts w:hint="eastAsia"/>
          <w:sz w:val="24"/>
          <w:szCs w:val="24"/>
        </w:rPr>
        <w:t>员。</w:t>
      </w:r>
    </w:p>
    <w:p>
      <w:pPr>
        <w:numPr>
          <w:ilvl w:val="0"/>
          <w:numId w:val="48"/>
        </w:numPr>
        <w:tabs>
          <w:tab w:val="left" w:pos="1720"/>
        </w:tabs>
        <w:spacing w:before="155" w:line="364" w:lineRule="auto"/>
        <w:ind w:left="880" w:right="905" w:firstLine="480"/>
        <w:rPr>
          <w:sz w:val="24"/>
        </w:rPr>
      </w:pPr>
      <w:r>
        <w:rPr>
          <w:rFonts w:hint="eastAsia"/>
          <w:sz w:val="24"/>
        </w:rPr>
        <w:t>系统还必须可以接受由操作人员输入的附加信息（</w:t>
      </w:r>
      <w:r>
        <w:rPr>
          <w:rFonts w:hint="eastAsia"/>
          <w:spacing w:val="-3"/>
          <w:sz w:val="24"/>
        </w:rPr>
        <w:t>如场景物理参数、操</w:t>
      </w:r>
      <w:r>
        <w:rPr>
          <w:rFonts w:hint="eastAsia"/>
          <w:sz w:val="24"/>
        </w:rPr>
        <w:t>作的手动介入、特定编组运行等）。</w:t>
      </w:r>
    </w:p>
    <w:p>
      <w:pPr>
        <w:pStyle w:val="9"/>
        <w:ind w:firstLine="459"/>
        <w:rPr>
          <w:bCs w:val="0"/>
        </w:rPr>
      </w:pPr>
      <w:r>
        <w:rPr>
          <w:rFonts w:hint="eastAsia"/>
          <w:w w:val="95"/>
          <w:lang w:val="en-US"/>
        </w:rPr>
        <w:t>2）</w:t>
      </w:r>
      <w:r>
        <w:rPr>
          <w:rFonts w:hint="eastAsia"/>
          <w:w w:val="95"/>
        </w:rPr>
        <w:t>基本功能构成</w:t>
      </w:r>
    </w:p>
    <w:p>
      <w:pPr>
        <w:spacing w:before="158"/>
        <w:ind w:left="1360"/>
        <w:jc w:val="both"/>
        <w:rPr>
          <w:sz w:val="24"/>
          <w:szCs w:val="24"/>
        </w:rPr>
      </w:pPr>
      <w:r>
        <w:rPr>
          <w:rFonts w:hint="eastAsia"/>
          <w:sz w:val="24"/>
          <w:szCs w:val="24"/>
        </w:rPr>
        <w:t>1) 设备编组运行</w:t>
      </w:r>
    </w:p>
    <w:p>
      <w:pPr>
        <w:spacing w:before="158" w:line="364" w:lineRule="auto"/>
        <w:ind w:left="880" w:right="1025" w:firstLine="480"/>
        <w:jc w:val="both"/>
        <w:rPr>
          <w:sz w:val="24"/>
          <w:szCs w:val="24"/>
        </w:rPr>
      </w:pPr>
      <w:r>
        <w:rPr>
          <w:rFonts w:hint="eastAsia"/>
          <w:spacing w:val="-2"/>
          <w:sz w:val="24"/>
          <w:szCs w:val="24"/>
        </w:rPr>
        <w:t xml:space="preserve">系统应能储存尽可能多的设备编组，可存贮的设备编组数量不应少于 </w:t>
      </w:r>
      <w:r>
        <w:rPr>
          <w:rFonts w:hint="eastAsia"/>
          <w:sz w:val="24"/>
          <w:szCs w:val="24"/>
        </w:rPr>
        <w:t xml:space="preserve">100 </w:t>
      </w:r>
      <w:r>
        <w:rPr>
          <w:rFonts w:hint="eastAsia"/>
          <w:spacing w:val="-1"/>
          <w:sz w:val="24"/>
          <w:szCs w:val="24"/>
        </w:rPr>
        <w:t>个。根据设备组运行状态的不同，系统至少有四种编组形式，并以不同颜色对</w:t>
      </w:r>
      <w:r>
        <w:rPr>
          <w:rFonts w:hint="eastAsia"/>
          <w:sz w:val="24"/>
          <w:szCs w:val="24"/>
        </w:rPr>
        <w:t>设备编组进行区分。</w:t>
      </w:r>
    </w:p>
    <w:p>
      <w:pPr>
        <w:spacing w:line="364" w:lineRule="auto"/>
        <w:ind w:left="880" w:right="1025" w:firstLine="480"/>
        <w:rPr>
          <w:sz w:val="24"/>
          <w:szCs w:val="24"/>
        </w:rPr>
      </w:pPr>
      <w:r>
        <w:rPr>
          <w:rFonts w:hint="eastAsia"/>
          <w:sz w:val="24"/>
          <w:szCs w:val="24"/>
        </w:rPr>
        <w:t>锁定型编组：吊挂或运载的场景需要固定连接到多个舞台机械设备上时， 该组中所有的舞台机械设备必须以相同的速度同时运行并移动相同的距离。为避免锁定型编组中因设备间出现速度或位置偏差，引起场景的倾翻或扭曲等危险情况发生。系统应该高速监控该组内各设备的速度和位置，当该组中任一设备和速度和位置超出误差允许范围时，系统必须停止该按钮组内所有运行的设备，系统发出的停止命令应该是紧急停机命令（EMS），以免场景的倾翻或扭曲等危险情况发生。</w:t>
      </w:r>
    </w:p>
    <w:p>
      <w:pPr>
        <w:spacing w:line="364" w:lineRule="auto"/>
        <w:ind w:left="880" w:right="1025" w:firstLine="480"/>
        <w:rPr>
          <w:sz w:val="24"/>
          <w:szCs w:val="24"/>
        </w:rPr>
      </w:pPr>
      <w:r>
        <w:rPr>
          <w:rFonts w:hint="eastAsia"/>
          <w:spacing w:val="-1"/>
          <w:sz w:val="24"/>
          <w:szCs w:val="24"/>
        </w:rPr>
        <w:t>安全型编组：用于控制速度、距离等参数组合复杂的设备组的运行。操作</w:t>
      </w:r>
      <w:r>
        <w:rPr>
          <w:rFonts w:hint="eastAsia"/>
          <w:sz w:val="24"/>
          <w:szCs w:val="24"/>
        </w:rPr>
        <w:t xml:space="preserve">的失误将导致场景及设备碰撞或损坏等危险情况。系统应规定更高的操作权 </w:t>
      </w:r>
      <w:r>
        <w:rPr>
          <w:rFonts w:hint="eastAsia"/>
          <w:spacing w:val="-1"/>
          <w:sz w:val="24"/>
          <w:szCs w:val="24"/>
        </w:rPr>
        <w:t>限，系统必须高速监控该组中所有运行设备的速度和位置，当该组中任一设备没有按照预设定或计算出的速度曲线运行，或者速度或位置偏差超出了系统允许的误差范围时，系统必须立即停止该组内所有设备的运行，系统发生的停止</w:t>
      </w:r>
      <w:r>
        <w:rPr>
          <w:rFonts w:hint="eastAsia"/>
          <w:sz w:val="24"/>
          <w:szCs w:val="24"/>
        </w:rPr>
        <w:t>命令应该是紧急停机命令（EMS），以免损坏场景和发生危险情况。</w:t>
      </w:r>
    </w:p>
    <w:p>
      <w:pPr>
        <w:spacing w:line="364" w:lineRule="auto"/>
        <w:ind w:left="880" w:right="905" w:firstLine="480"/>
        <w:rPr>
          <w:sz w:val="24"/>
          <w:szCs w:val="24"/>
        </w:rPr>
      </w:pPr>
      <w:r>
        <w:rPr>
          <w:rFonts w:hint="eastAsia"/>
          <w:sz w:val="24"/>
          <w:szCs w:val="24"/>
        </w:rPr>
        <w:t>联锁型编组：用于控制按顺序运动并有联锁关系的设备组的运行，当该组中任一设备的运动顺序不符合联锁关系或故障时，系统必须立即停止该组内所有设备的运行，系统发出的停止命令应该是紧急停机命令（EMS），以免损坏设备和发生危险情况。</w:t>
      </w:r>
    </w:p>
    <w:p>
      <w:pPr>
        <w:spacing w:line="364" w:lineRule="auto"/>
        <w:ind w:left="880" w:right="1025" w:firstLine="480"/>
        <w:jc w:val="both"/>
        <w:rPr>
          <w:sz w:val="24"/>
          <w:szCs w:val="24"/>
        </w:rPr>
      </w:pPr>
      <w:r>
        <w:rPr>
          <w:rFonts w:hint="eastAsia"/>
          <w:sz w:val="24"/>
          <w:szCs w:val="24"/>
        </w:rPr>
        <w:t>自由型编组：用于控制相互之间独立的我个设备的联合运行，适用于在演出中需要经常调用的多个设备的同时运行。自由型编组中允许各设备的运行独立于其它设备，按照已定的速度和动作距离来运行，当该组任一设备的速度或位置偏差超出系统允许的误差范围时，系统发出针对单个设备的停止命令，而其它正常运行的设备不受任何影响。</w:t>
      </w:r>
    </w:p>
    <w:p>
      <w:pPr>
        <w:pStyle w:val="9"/>
        <w:ind w:firstLine="482"/>
      </w:pPr>
      <w:r>
        <w:rPr>
          <w:rFonts w:hint="eastAsia"/>
          <w:lang w:val="en-US"/>
        </w:rPr>
        <w:t>3）</w:t>
      </w:r>
      <w:r>
        <w:rPr>
          <w:rFonts w:hint="eastAsia"/>
        </w:rPr>
        <w:t>场景物理参数</w:t>
      </w:r>
    </w:p>
    <w:p>
      <w:pPr>
        <w:spacing w:before="150" w:line="364" w:lineRule="auto"/>
        <w:ind w:left="880" w:right="1025" w:firstLine="480"/>
        <w:jc w:val="both"/>
        <w:rPr>
          <w:sz w:val="24"/>
          <w:szCs w:val="24"/>
        </w:rPr>
      </w:pPr>
      <w:r>
        <w:rPr>
          <w:rFonts w:hint="eastAsia"/>
          <w:sz w:val="24"/>
          <w:szCs w:val="24"/>
        </w:rPr>
        <w:t>场景的纵向整体高度、场景的估计重量、运行距离限制等是控制系统对每个设备进行可靠控制的重要物理参数，系统应允许操作人员对这些参数进行输入、修改等操作。</w:t>
      </w:r>
    </w:p>
    <w:p>
      <w:pPr>
        <w:pStyle w:val="9"/>
        <w:ind w:firstLine="482"/>
      </w:pPr>
      <w:r>
        <w:rPr>
          <w:rFonts w:hint="eastAsia"/>
          <w:lang w:val="en-US"/>
        </w:rPr>
        <w:t>4）</w:t>
      </w:r>
      <w:r>
        <w:rPr>
          <w:rFonts w:hint="eastAsia"/>
        </w:rPr>
        <w:t>预设停车位置</w:t>
      </w:r>
    </w:p>
    <w:p>
      <w:pPr>
        <w:spacing w:before="158" w:line="364" w:lineRule="auto"/>
        <w:ind w:left="880" w:right="1025" w:firstLine="480"/>
        <w:jc w:val="both"/>
        <w:rPr>
          <w:sz w:val="24"/>
          <w:szCs w:val="24"/>
        </w:rPr>
      </w:pPr>
      <w:r>
        <w:rPr>
          <w:rFonts w:hint="eastAsia"/>
          <w:spacing w:val="-1"/>
          <w:sz w:val="24"/>
          <w:szCs w:val="24"/>
        </w:rPr>
        <w:t>在每一场演出中，系统还应该具有支持任意设定停车位置的功能。停车位置参考点的设定，对悬吊设备或升降设备以舞台台面为参考点，对水平运行设备或旋转运行设备以原始位置为参考点。预设停车位置的设定应该可以在主操作台扩相应授权的操作盘面上方便的进行。设定好的预设停车位置数据应该可</w:t>
      </w:r>
      <w:r>
        <w:rPr>
          <w:rFonts w:hint="eastAsia"/>
          <w:sz w:val="24"/>
          <w:szCs w:val="24"/>
        </w:rPr>
        <w:t>以通过网络或用数据盘传输到系统中。</w:t>
      </w:r>
    </w:p>
    <w:p>
      <w:pPr>
        <w:pStyle w:val="9"/>
        <w:ind w:firstLine="482"/>
      </w:pPr>
      <w:r>
        <w:rPr>
          <w:rFonts w:hint="eastAsia"/>
          <w:lang w:val="en-US"/>
        </w:rPr>
        <w:t>5）</w:t>
      </w:r>
      <w:r>
        <w:rPr>
          <w:rFonts w:hint="eastAsia"/>
        </w:rPr>
        <w:t>设备起动</w:t>
      </w:r>
    </w:p>
    <w:p>
      <w:pPr>
        <w:spacing w:before="160" w:line="364" w:lineRule="auto"/>
        <w:ind w:left="880" w:right="1025" w:firstLine="480"/>
        <w:rPr>
          <w:sz w:val="24"/>
          <w:szCs w:val="24"/>
        </w:rPr>
      </w:pPr>
      <w:r>
        <w:rPr>
          <w:rFonts w:hint="eastAsia"/>
          <w:sz w:val="24"/>
          <w:szCs w:val="24"/>
        </w:rPr>
        <w:t xml:space="preserve">设备的起动不能用功能键盘或鼠标进行，只可利用操作台（盘）上的按 </w:t>
      </w:r>
      <w:r>
        <w:rPr>
          <w:rFonts w:hint="eastAsia"/>
          <w:spacing w:val="-1"/>
          <w:sz w:val="24"/>
          <w:szCs w:val="24"/>
        </w:rPr>
        <w:t>钮、操作杆等操作部件起动单个设备或编组设备的运行。设备的运行将按照预设定的速度、预设定的时间等参数从一个预设停车位置运行到另一个预设停车</w:t>
      </w:r>
      <w:r>
        <w:rPr>
          <w:rFonts w:hint="eastAsia"/>
          <w:sz w:val="24"/>
          <w:szCs w:val="24"/>
        </w:rPr>
        <w:t xml:space="preserve">位置，或者从任意有效位置起动运行到另一个有效位置。单个设备、设备编 </w:t>
      </w:r>
      <w:r>
        <w:rPr>
          <w:rFonts w:hint="eastAsia"/>
          <w:spacing w:val="-1"/>
          <w:sz w:val="24"/>
          <w:szCs w:val="24"/>
        </w:rPr>
        <w:t>组、场景记忆、场景序列等运行方式中都应有手动介入功能来控制设备运行。</w:t>
      </w:r>
    </w:p>
    <w:p>
      <w:pPr>
        <w:pStyle w:val="9"/>
        <w:ind w:firstLine="482"/>
      </w:pPr>
      <w:r>
        <w:rPr>
          <w:rFonts w:hint="eastAsia"/>
          <w:lang w:val="en-US"/>
        </w:rPr>
        <w:t>6）</w:t>
      </w:r>
      <w:r>
        <w:rPr>
          <w:rFonts w:hint="eastAsia"/>
        </w:rPr>
        <w:t>设备运动的挑选和忽略</w:t>
      </w:r>
    </w:p>
    <w:p>
      <w:pPr>
        <w:spacing w:before="161" w:line="364" w:lineRule="auto"/>
        <w:ind w:left="880" w:right="1025" w:firstLine="480"/>
        <w:jc w:val="both"/>
        <w:rPr>
          <w:sz w:val="24"/>
          <w:szCs w:val="24"/>
        </w:rPr>
      </w:pPr>
      <w:r>
        <w:rPr>
          <w:rFonts w:hint="eastAsia"/>
          <w:sz w:val="24"/>
          <w:szCs w:val="24"/>
        </w:rPr>
        <w:t>在自由型编组设备运行控制中，系统允许操作人员从中选择几个设备处于可控状态，而该组中其余设备可以被忽略，同样也可以选择几个设备被忽略， 其余设备为可控状态。</w:t>
      </w:r>
    </w:p>
    <w:p>
      <w:pPr>
        <w:spacing w:line="364" w:lineRule="auto"/>
        <w:ind w:left="880" w:right="1025" w:firstLine="480"/>
        <w:jc w:val="both"/>
        <w:rPr>
          <w:sz w:val="24"/>
          <w:szCs w:val="24"/>
        </w:rPr>
      </w:pPr>
      <w:r>
        <w:rPr>
          <w:rFonts w:hint="eastAsia"/>
          <w:sz w:val="24"/>
          <w:szCs w:val="24"/>
        </w:rPr>
        <w:t>在场景记忆运行中，系统应该允许操作人员从中选择几种设备编组处于可控状态，而其余编组可以被忽略。系统还应该允许操作人员在设备编组之间进行跳跃操作。</w:t>
      </w:r>
    </w:p>
    <w:p>
      <w:pPr>
        <w:pStyle w:val="9"/>
        <w:ind w:firstLine="482"/>
      </w:pPr>
      <w:r>
        <w:rPr>
          <w:rFonts w:hint="eastAsia"/>
          <w:lang w:val="en-US"/>
        </w:rPr>
        <w:t>7）</w:t>
      </w:r>
      <w:r>
        <w:rPr>
          <w:rFonts w:hint="eastAsia"/>
        </w:rPr>
        <w:t>默认速度</w:t>
      </w:r>
    </w:p>
    <w:p>
      <w:pPr>
        <w:spacing w:before="157" w:line="364" w:lineRule="auto"/>
        <w:ind w:left="880" w:right="1025" w:firstLine="480"/>
        <w:jc w:val="both"/>
        <w:rPr>
          <w:sz w:val="24"/>
          <w:szCs w:val="24"/>
        </w:rPr>
      </w:pPr>
      <w:r>
        <w:rPr>
          <w:rFonts w:hint="eastAsia"/>
          <w:sz w:val="24"/>
          <w:szCs w:val="24"/>
        </w:rPr>
        <w:t>在缺省对设备的速度设定或无法进行速度设定时，设备应该按照系统默认的速度运行，默认速度随不同的设备而不同，承包商应对此作出合理的设计， 通过软件或硬件方式内置于控制系统中。</w:t>
      </w:r>
    </w:p>
    <w:p>
      <w:pPr>
        <w:pStyle w:val="9"/>
        <w:ind w:firstLine="482"/>
      </w:pPr>
      <w:r>
        <w:rPr>
          <w:rFonts w:hint="eastAsia"/>
          <w:lang w:val="en-US"/>
        </w:rPr>
        <w:t>8）</w:t>
      </w:r>
      <w:r>
        <w:rPr>
          <w:rFonts w:hint="eastAsia"/>
        </w:rPr>
        <w:t>其它需要功能</w:t>
      </w:r>
    </w:p>
    <w:p>
      <w:pPr>
        <w:spacing w:before="161" w:line="364" w:lineRule="auto"/>
        <w:ind w:left="880" w:right="1025" w:firstLine="480"/>
        <w:jc w:val="both"/>
        <w:rPr>
          <w:sz w:val="24"/>
          <w:szCs w:val="24"/>
        </w:rPr>
      </w:pPr>
      <w:r>
        <w:rPr>
          <w:rFonts w:hint="eastAsia"/>
          <w:sz w:val="24"/>
          <w:szCs w:val="24"/>
        </w:rPr>
        <w:t>系统还应提供满足装台、排练、演出等过程所要求的完善的操作功能（场景记忆、场景序列、系统提示、离线仿真等），承包商应该根据其经验，提供成熟的、简化的操作步骤和方法。</w:t>
      </w:r>
    </w:p>
    <w:p>
      <w:pPr>
        <w:pStyle w:val="8"/>
        <w:ind w:left="1320" w:firstLine="482"/>
      </w:pPr>
      <w:r>
        <w:rPr>
          <w:rFonts w:hint="eastAsia"/>
          <w:lang w:val="en-US"/>
        </w:rPr>
        <w:t>16</w:t>
      </w:r>
      <w:r>
        <w:rPr>
          <w:rFonts w:hint="eastAsia"/>
        </w:rPr>
        <w:t>、软件</w:t>
      </w:r>
    </w:p>
    <w:p>
      <w:pPr>
        <w:spacing w:before="160" w:line="364" w:lineRule="auto"/>
        <w:ind w:left="880" w:right="1025" w:firstLine="480"/>
        <w:jc w:val="both"/>
        <w:rPr>
          <w:sz w:val="24"/>
          <w:szCs w:val="24"/>
        </w:rPr>
      </w:pPr>
      <w:r>
        <w:rPr>
          <w:rFonts w:hint="eastAsia"/>
          <w:sz w:val="24"/>
          <w:szCs w:val="24"/>
        </w:rPr>
        <w:t>软件应包括在备份的物理双硬盘上，运行的软件部分应该在容量足够的电子盘或内存上，没有物理运动的磁头读写操作。特别需要强调的是，正常运行时，系统不能从软盘和硬盘上接受数据。系统应具有自动定时备份功能，到硬盘驱动器和软盘驱动器的数据发送应冗余的，并且使用独立的协议。系统可以通过计算机局域网络或其它方法传送数据。</w:t>
      </w:r>
    </w:p>
    <w:p>
      <w:pPr>
        <w:pStyle w:val="9"/>
        <w:ind w:firstLine="482"/>
      </w:pPr>
      <w:r>
        <w:rPr>
          <w:rFonts w:hint="eastAsia"/>
        </w:rPr>
        <w:t>适用性：</w:t>
      </w:r>
    </w:p>
    <w:p>
      <w:pPr>
        <w:tabs>
          <w:tab w:val="left" w:pos="1721"/>
        </w:tabs>
        <w:spacing w:line="364" w:lineRule="auto"/>
        <w:ind w:left="959" w:leftChars="436" w:right="905" w:firstLine="480" w:firstLineChars="200"/>
        <w:jc w:val="both"/>
        <w:rPr>
          <w:sz w:val="24"/>
          <w:szCs w:val="24"/>
        </w:rPr>
      </w:pPr>
      <w:r>
        <w:rPr>
          <w:rFonts w:hint="eastAsia"/>
          <w:sz w:val="24"/>
          <w:szCs w:val="24"/>
        </w:rPr>
        <w:t>软件必须是专为剧院舞台机构设备控制与操作而设计开发的。系统应提供良好的人-机界面，操作应简单明确，并具有图形数字显示、屏幕菜单操作、自动记忆、在线帮助、故障诊断、故障处理提示志远程诊断维护等功能。运行参数的设定和运行模式的设定可以是键盘操作结合鼠标点击画面的方式，但启动设备必须通过安全可靠的按键来进行。特殊对话框的弹出要实时、准确、浮点运算应该准确无误。系统运行稳定、性能优良，要达到工业级的平均无故障工作时间要求，控制技术和软件技术要达到国际先进水平。</w:t>
      </w:r>
    </w:p>
    <w:p>
      <w:pPr>
        <w:pStyle w:val="9"/>
        <w:ind w:firstLine="482"/>
      </w:pPr>
      <w:r>
        <w:rPr>
          <w:rFonts w:hint="eastAsia"/>
        </w:rPr>
        <w:t>运行环境：</w:t>
      </w:r>
    </w:p>
    <w:p>
      <w:pPr>
        <w:tabs>
          <w:tab w:val="left" w:pos="1721"/>
        </w:tabs>
        <w:spacing w:line="364" w:lineRule="auto"/>
        <w:ind w:left="1320" w:leftChars="600" w:right="1145"/>
        <w:rPr>
          <w:sz w:val="24"/>
        </w:rPr>
      </w:pPr>
      <w:r>
        <w:rPr>
          <w:rFonts w:hint="eastAsia"/>
          <w:spacing w:val="-1"/>
          <w:sz w:val="24"/>
        </w:rPr>
        <w:t>控制软件的开发应基于适宜的、安全可靠的计算机操作系</w:t>
      </w:r>
      <w:r>
        <w:rPr>
          <w:rFonts w:hint="eastAsia"/>
          <w:sz w:val="24"/>
        </w:rPr>
        <w:t>统。</w:t>
      </w:r>
    </w:p>
    <w:p>
      <w:pPr>
        <w:pStyle w:val="9"/>
        <w:ind w:firstLine="482"/>
      </w:pPr>
      <w:r>
        <w:rPr>
          <w:rFonts w:hint="eastAsia"/>
        </w:rPr>
        <w:t>语言要求：</w:t>
      </w:r>
    </w:p>
    <w:p>
      <w:pPr>
        <w:tabs>
          <w:tab w:val="left" w:pos="1721"/>
        </w:tabs>
        <w:spacing w:line="364" w:lineRule="auto"/>
        <w:ind w:left="1320" w:leftChars="600" w:right="905"/>
        <w:rPr>
          <w:sz w:val="24"/>
        </w:rPr>
      </w:pPr>
      <w:r>
        <w:rPr>
          <w:rFonts w:hint="eastAsia"/>
          <w:spacing w:val="-1"/>
          <w:sz w:val="24"/>
        </w:rPr>
        <w:t>面向操作人员的操作界面和工程组态等必须有中文版本，以</w:t>
      </w:r>
      <w:r>
        <w:rPr>
          <w:rFonts w:hint="eastAsia"/>
          <w:sz w:val="24"/>
        </w:rPr>
        <w:t>便于操作人员的使用。</w:t>
      </w:r>
    </w:p>
    <w:p>
      <w:pPr>
        <w:pStyle w:val="9"/>
        <w:ind w:firstLine="482"/>
      </w:pPr>
      <w:r>
        <w:rPr>
          <w:rFonts w:hint="eastAsia"/>
        </w:rPr>
        <w:t>用户文件管理：</w:t>
      </w:r>
    </w:p>
    <w:p>
      <w:pPr>
        <w:tabs>
          <w:tab w:val="left" w:pos="1721"/>
        </w:tabs>
        <w:spacing w:line="362" w:lineRule="auto"/>
        <w:ind w:left="1320" w:leftChars="600" w:right="905"/>
        <w:rPr>
          <w:sz w:val="24"/>
        </w:rPr>
      </w:pPr>
      <w:r>
        <w:rPr>
          <w:rFonts w:hint="eastAsia"/>
          <w:spacing w:val="-1"/>
          <w:sz w:val="24"/>
        </w:rPr>
        <w:t>系统应该禁止操作人员对软件核心文件的访问，对软件</w:t>
      </w:r>
      <w:r>
        <w:rPr>
          <w:rFonts w:hint="eastAsia"/>
          <w:sz w:val="24"/>
        </w:rPr>
        <w:t>的调用产生的用户文件应该用密码的方式做有效的保护。工程师可以控制和改变到达文件夹的操作路径。</w:t>
      </w:r>
    </w:p>
    <w:p>
      <w:pPr>
        <w:pStyle w:val="9"/>
        <w:ind w:firstLine="482"/>
      </w:pPr>
      <w:r>
        <w:rPr>
          <w:rFonts w:hint="eastAsia"/>
        </w:rPr>
        <w:t>远程诊断软件：</w:t>
      </w:r>
    </w:p>
    <w:p>
      <w:pPr>
        <w:tabs>
          <w:tab w:val="left" w:pos="1721"/>
        </w:tabs>
        <w:spacing w:before="4" w:line="364" w:lineRule="auto"/>
        <w:ind w:left="1320" w:leftChars="600" w:right="905"/>
        <w:rPr>
          <w:sz w:val="24"/>
        </w:rPr>
      </w:pPr>
      <w:r>
        <w:rPr>
          <w:rFonts w:hint="eastAsia"/>
          <w:spacing w:val="-1"/>
          <w:sz w:val="24"/>
        </w:rPr>
        <w:t>在需要的时候，操作人员可以要求承包商的技术人员对</w:t>
      </w:r>
      <w:r>
        <w:rPr>
          <w:rFonts w:hint="eastAsia"/>
          <w:sz w:val="24"/>
        </w:rPr>
        <w:t>软件进行远程操作监控和故障诊断。</w:t>
      </w:r>
    </w:p>
    <w:p>
      <w:pPr>
        <w:pStyle w:val="9"/>
        <w:ind w:firstLine="482"/>
      </w:pPr>
      <w:r>
        <w:rPr>
          <w:rFonts w:hint="eastAsia"/>
        </w:rPr>
        <w:t>信息记录及打印功能：</w:t>
      </w:r>
    </w:p>
    <w:p>
      <w:pPr>
        <w:tabs>
          <w:tab w:val="left" w:pos="1721"/>
        </w:tabs>
        <w:spacing w:line="364" w:lineRule="auto"/>
        <w:ind w:left="1320" w:leftChars="600" w:right="905"/>
        <w:rPr>
          <w:sz w:val="24"/>
        </w:rPr>
      </w:pPr>
      <w:r>
        <w:rPr>
          <w:rFonts w:hint="eastAsia"/>
          <w:spacing w:val="-1"/>
          <w:sz w:val="24"/>
        </w:rPr>
        <w:t>软件应能自动记录所有的操作、控制及设备的运</w:t>
      </w:r>
      <w:r>
        <w:rPr>
          <w:rFonts w:hint="eastAsia"/>
          <w:sz w:val="24"/>
        </w:rPr>
        <w:t>行和故障信息，并能打印出来。打印列表应该清楚，不正常的信息应用更明显的方式打印出来。</w:t>
      </w:r>
    </w:p>
    <w:p>
      <w:pPr>
        <w:pStyle w:val="9"/>
        <w:ind w:firstLine="480"/>
      </w:pPr>
      <w:r>
        <w:rPr>
          <w:rFonts w:hint="eastAsia"/>
          <w:spacing w:val="-1"/>
          <w:lang w:val="en-US"/>
        </w:rPr>
        <w:t>7）</w:t>
      </w:r>
      <w:r>
        <w:rPr>
          <w:rFonts w:hint="eastAsia"/>
          <w:spacing w:val="-1"/>
        </w:rPr>
        <w:t>承包商应保证在安装期选用的软件版本是最新的。在保证期内，承包商</w:t>
      </w:r>
      <w:r>
        <w:rPr>
          <w:rFonts w:hint="eastAsia"/>
        </w:rPr>
        <w:t>应根据业主在使用过程中发现的问题及合理要求不断完善其控制软件。在保证期结束时，操作系统软件应是最新的。</w:t>
      </w:r>
    </w:p>
    <w:p>
      <w:pPr>
        <w:pStyle w:val="8"/>
        <w:ind w:left="1320" w:firstLine="482"/>
      </w:pPr>
      <w:r>
        <w:rPr>
          <w:rFonts w:hint="eastAsia"/>
          <w:lang w:val="en-US"/>
        </w:rPr>
        <w:t>17</w:t>
      </w:r>
      <w:r>
        <w:rPr>
          <w:rFonts w:hint="eastAsia"/>
        </w:rPr>
        <w:t>、显示系统</w:t>
      </w:r>
    </w:p>
    <w:p>
      <w:pPr>
        <w:spacing w:before="158" w:line="364" w:lineRule="auto"/>
        <w:ind w:left="880" w:right="1025" w:firstLine="480"/>
        <w:jc w:val="both"/>
        <w:rPr>
          <w:sz w:val="24"/>
          <w:szCs w:val="24"/>
        </w:rPr>
      </w:pPr>
      <w:r>
        <w:rPr>
          <w:rFonts w:hint="eastAsia"/>
          <w:sz w:val="24"/>
          <w:szCs w:val="24"/>
        </w:rPr>
        <w:t>显示系统的基本要求如下：应有换屏操作和调用特殊数据的复选单键。屏幕刷新必须没有明显的延迟。应实时显示当前的操作信息。紧急信息除了在屏幕上显示外，还应在操作台（盘）面上显示。</w:t>
      </w:r>
    </w:p>
    <w:p>
      <w:pPr>
        <w:spacing w:line="364" w:lineRule="auto"/>
        <w:ind w:left="880" w:right="1025" w:firstLine="480"/>
        <w:jc w:val="both"/>
        <w:rPr>
          <w:sz w:val="24"/>
          <w:szCs w:val="24"/>
        </w:rPr>
      </w:pPr>
      <w:r>
        <w:rPr>
          <w:rFonts w:hint="eastAsia"/>
          <w:sz w:val="24"/>
          <w:szCs w:val="24"/>
        </w:rPr>
        <w:t>系统应该用屏幕窗口、图形、表格等方式来显示预选择设备、运行参数设定、设备编组、场景记忆、场景序列、在线帮助、故障信息、数据加载、工程组态和管理功能，并用明显的方式区分不同设备的不同状态（选中、运行中、故障等）。</w:t>
      </w:r>
    </w:p>
    <w:p>
      <w:pPr>
        <w:pStyle w:val="9"/>
        <w:ind w:firstLine="482"/>
      </w:pPr>
      <w:bookmarkStart w:id="70" w:name="3.7、涂层与表面处理"/>
      <w:bookmarkEnd w:id="70"/>
      <w:r>
        <w:rPr>
          <w:rFonts w:hint="eastAsia"/>
          <w:lang w:val="en-US"/>
        </w:rPr>
        <w:t>1）</w:t>
      </w:r>
      <w:r>
        <w:rPr>
          <w:rFonts w:hint="eastAsia"/>
        </w:rPr>
        <w:t>涂层与表面处理</w:t>
      </w:r>
    </w:p>
    <w:p>
      <w:pPr>
        <w:numPr>
          <w:ilvl w:val="2"/>
          <w:numId w:val="66"/>
        </w:numPr>
        <w:tabs>
          <w:tab w:val="left" w:pos="1721"/>
        </w:tabs>
        <w:spacing w:before="160" w:line="364" w:lineRule="auto"/>
        <w:ind w:right="905" w:firstLine="480"/>
        <w:rPr>
          <w:sz w:val="24"/>
        </w:rPr>
      </w:pPr>
      <w:r>
        <w:rPr>
          <w:rFonts w:hint="eastAsia"/>
          <w:spacing w:val="-1"/>
          <w:sz w:val="24"/>
        </w:rPr>
        <w:t>准备：所有部件要具有表面光滑表面，没有飞边毛刺。不允许出现不良</w:t>
      </w:r>
      <w:r>
        <w:rPr>
          <w:rFonts w:hint="eastAsia"/>
          <w:sz w:val="24"/>
        </w:rPr>
        <w:t>的切割和焊接，部件在涂漆前应脱脂。钢铁表面应除锈并采取防锈措施。结构件在涂漆前进行喷砂处理并采取防锈措施。</w:t>
      </w:r>
    </w:p>
    <w:p>
      <w:pPr>
        <w:numPr>
          <w:ilvl w:val="2"/>
          <w:numId w:val="66"/>
        </w:numPr>
        <w:tabs>
          <w:tab w:val="left" w:pos="1721"/>
        </w:tabs>
        <w:spacing w:line="364" w:lineRule="auto"/>
        <w:ind w:right="905" w:firstLine="480"/>
        <w:rPr>
          <w:sz w:val="24"/>
        </w:rPr>
      </w:pPr>
      <w:r>
        <w:rPr>
          <w:rFonts w:hint="eastAsia"/>
          <w:spacing w:val="-1"/>
          <w:sz w:val="24"/>
        </w:rPr>
        <w:t>涂层：所有部件应涂上底漆、二道漆，并按照设备说明涂面漆。涂层的</w:t>
      </w:r>
      <w:r>
        <w:rPr>
          <w:rFonts w:hint="eastAsia"/>
          <w:sz w:val="24"/>
        </w:rPr>
        <w:t>损坏部分应及时修复，锈蚀部分应清理到金属光亮后再正确涂漆。底漆采用防</w:t>
      </w:r>
      <w:r>
        <w:rPr>
          <w:rFonts w:hint="eastAsia"/>
          <w:spacing w:val="-6"/>
          <w:sz w:val="24"/>
        </w:rPr>
        <w:t xml:space="preserve">锈漆，漆膜厚度不小于 </w:t>
      </w:r>
      <w:r>
        <w:rPr>
          <w:rFonts w:hint="eastAsia"/>
          <w:sz w:val="24"/>
        </w:rPr>
        <w:t>80μm，</w:t>
      </w:r>
      <w:r>
        <w:rPr>
          <w:rFonts w:hint="eastAsia"/>
          <w:spacing w:val="-4"/>
          <w:sz w:val="24"/>
        </w:rPr>
        <w:t xml:space="preserve">面漆采用树脂型，漆膜厚度不小于 </w:t>
      </w:r>
      <w:r>
        <w:rPr>
          <w:rFonts w:hint="eastAsia"/>
          <w:sz w:val="24"/>
        </w:rPr>
        <w:t>80μm，</w:t>
      </w:r>
      <w:r>
        <w:rPr>
          <w:rFonts w:hint="eastAsia"/>
          <w:spacing w:val="-10"/>
          <w:sz w:val="24"/>
        </w:rPr>
        <w:t>漆膜</w:t>
      </w:r>
      <w:r>
        <w:rPr>
          <w:rFonts w:hint="eastAsia"/>
          <w:spacing w:val="-9"/>
          <w:sz w:val="24"/>
        </w:rPr>
        <w:t xml:space="preserve">总厚度不小于 </w:t>
      </w:r>
      <w:r>
        <w:rPr>
          <w:rFonts w:hint="eastAsia"/>
          <w:sz w:val="24"/>
        </w:rPr>
        <w:t>150μm。漆膜厚度采用干膜厚度计测量。</w:t>
      </w:r>
    </w:p>
    <w:p>
      <w:pPr>
        <w:numPr>
          <w:ilvl w:val="2"/>
          <w:numId w:val="66"/>
        </w:numPr>
        <w:tabs>
          <w:tab w:val="left" w:pos="1721"/>
        </w:tabs>
        <w:spacing w:line="362" w:lineRule="auto"/>
        <w:ind w:right="905" w:firstLine="480"/>
        <w:rPr>
          <w:sz w:val="24"/>
        </w:rPr>
      </w:pPr>
      <w:r>
        <w:rPr>
          <w:rFonts w:hint="eastAsia"/>
          <w:spacing w:val="-1"/>
          <w:sz w:val="24"/>
        </w:rPr>
        <w:t>现场焊接：全部焊接完成后处理干净和正确涂漆。管和相似的组件的内</w:t>
      </w:r>
      <w:r>
        <w:rPr>
          <w:rFonts w:hint="eastAsia"/>
          <w:sz w:val="24"/>
        </w:rPr>
        <w:t>表面无法进行涂漆时，在其端部完全密封，以防内部生锈。</w:t>
      </w:r>
    </w:p>
    <w:p>
      <w:pPr>
        <w:numPr>
          <w:ilvl w:val="2"/>
          <w:numId w:val="66"/>
        </w:numPr>
        <w:tabs>
          <w:tab w:val="left" w:pos="1721"/>
        </w:tabs>
        <w:spacing w:line="364" w:lineRule="auto"/>
        <w:ind w:right="905" w:firstLine="480"/>
        <w:rPr>
          <w:sz w:val="24"/>
        </w:rPr>
      </w:pPr>
      <w:r>
        <w:rPr>
          <w:rFonts w:hint="eastAsia"/>
          <w:spacing w:val="-1"/>
          <w:sz w:val="24"/>
        </w:rPr>
        <w:t>现场安装后的修补油漆，承包商自备，其种类、品牌、质量应与原油漆</w:t>
      </w:r>
      <w:r>
        <w:rPr>
          <w:rFonts w:hint="eastAsia"/>
          <w:sz w:val="24"/>
        </w:rPr>
        <w:t>相同。</w:t>
      </w:r>
    </w:p>
    <w:p>
      <w:pPr>
        <w:numPr>
          <w:ilvl w:val="2"/>
          <w:numId w:val="66"/>
        </w:numPr>
        <w:tabs>
          <w:tab w:val="left" w:pos="1721"/>
        </w:tabs>
        <w:spacing w:before="1" w:line="362" w:lineRule="auto"/>
        <w:ind w:right="1145" w:firstLine="480"/>
        <w:rPr>
          <w:sz w:val="24"/>
        </w:rPr>
      </w:pPr>
      <w:r>
        <w:rPr>
          <w:rFonts w:hint="eastAsia"/>
          <w:spacing w:val="-1"/>
          <w:sz w:val="24"/>
        </w:rPr>
        <w:t>标记：所有可拆卸的部件涂漆时应作清楚标记，以保证现场正确再安</w:t>
      </w:r>
      <w:r>
        <w:rPr>
          <w:rFonts w:hint="eastAsia"/>
          <w:sz w:val="24"/>
        </w:rPr>
        <w:t>装，现场安装结束后，应清除全部工厂标识的标记。</w:t>
      </w:r>
    </w:p>
    <w:p>
      <w:pPr>
        <w:numPr>
          <w:ilvl w:val="2"/>
          <w:numId w:val="66"/>
        </w:numPr>
        <w:tabs>
          <w:tab w:val="left" w:pos="1721"/>
        </w:tabs>
        <w:spacing w:before="5" w:line="364" w:lineRule="auto"/>
        <w:ind w:right="905" w:firstLine="480"/>
        <w:rPr>
          <w:sz w:val="24"/>
        </w:rPr>
      </w:pPr>
      <w:r>
        <w:rPr>
          <w:rFonts w:hint="eastAsia"/>
          <w:sz w:val="24"/>
        </w:rPr>
        <w:t>表面涂漆颜色：在舞台下部的固定或运动钢部件应涂以暗黑色（</w:t>
      </w:r>
      <w:r>
        <w:rPr>
          <w:rFonts w:hint="eastAsia"/>
          <w:spacing w:val="-7"/>
          <w:sz w:val="24"/>
        </w:rPr>
        <w:t>外露旋</w:t>
      </w:r>
      <w:r>
        <w:rPr>
          <w:rFonts w:hint="eastAsia"/>
          <w:sz w:val="24"/>
        </w:rPr>
        <w:t>转件的非工作表面为红色）其它部分按照各个具体要求涂漆。承包商在承担工程前应对涂漆的要求和细节进行确认。电气设备的全部表面应用高质量烤漆或高质量喷塑，盘和柜的表面处理不应出现反光。</w:t>
      </w:r>
    </w:p>
    <w:p>
      <w:pPr>
        <w:numPr>
          <w:ilvl w:val="2"/>
          <w:numId w:val="66"/>
        </w:numPr>
        <w:tabs>
          <w:tab w:val="left" w:pos="1721"/>
        </w:tabs>
        <w:spacing w:line="305" w:lineRule="exact"/>
        <w:ind w:left="1721"/>
        <w:rPr>
          <w:sz w:val="24"/>
        </w:rPr>
      </w:pPr>
      <w:r>
        <w:rPr>
          <w:rFonts w:hint="eastAsia"/>
          <w:sz w:val="24"/>
        </w:rPr>
        <w:t>涂漆工艺由承包商自定，但须提供涂漆工艺说明。</w:t>
      </w:r>
    </w:p>
    <w:p>
      <w:pPr>
        <w:numPr>
          <w:ilvl w:val="2"/>
          <w:numId w:val="66"/>
        </w:numPr>
        <w:tabs>
          <w:tab w:val="left" w:pos="1721"/>
        </w:tabs>
        <w:spacing w:before="158"/>
        <w:ind w:left="1721"/>
        <w:rPr>
          <w:sz w:val="24"/>
        </w:rPr>
      </w:pPr>
      <w:r>
        <w:rPr>
          <w:rFonts w:hint="eastAsia"/>
          <w:sz w:val="24"/>
        </w:rPr>
        <w:t>自设备验收合格日之后三年内，所有油漆不允许出现开裂与漆皮剥落。</w:t>
      </w:r>
    </w:p>
    <w:p>
      <w:pPr>
        <w:pStyle w:val="8"/>
        <w:ind w:left="1320" w:firstLine="482"/>
      </w:pPr>
      <w:bookmarkStart w:id="71" w:name="3.8、铭牌与标志"/>
      <w:bookmarkEnd w:id="71"/>
      <w:r>
        <w:rPr>
          <w:rFonts w:hint="eastAsia"/>
          <w:lang w:val="en-US"/>
        </w:rPr>
        <w:t>18、</w:t>
      </w:r>
      <w:r>
        <w:rPr>
          <w:rFonts w:hint="eastAsia"/>
        </w:rPr>
        <w:t>铭牌与标志</w:t>
      </w:r>
    </w:p>
    <w:p>
      <w:pPr>
        <w:numPr>
          <w:ilvl w:val="0"/>
          <w:numId w:val="67"/>
        </w:numPr>
        <w:tabs>
          <w:tab w:val="left" w:pos="1721"/>
        </w:tabs>
        <w:spacing w:before="159" w:line="364" w:lineRule="auto"/>
        <w:ind w:right="1625" w:firstLine="0"/>
        <w:rPr>
          <w:sz w:val="24"/>
        </w:rPr>
      </w:pPr>
      <w:r>
        <w:rPr>
          <w:rFonts w:hint="eastAsia"/>
          <w:spacing w:val="-1"/>
          <w:sz w:val="24"/>
        </w:rPr>
        <w:t>每台设备均应有金属铭牌，金属铭牌应装设在设备的明显位置。</w:t>
      </w:r>
      <w:r>
        <w:rPr>
          <w:rFonts w:hint="eastAsia"/>
          <w:sz w:val="24"/>
        </w:rPr>
        <w:t>金属铭牌的主要内容应包括：</w:t>
      </w:r>
    </w:p>
    <w:p>
      <w:pPr>
        <w:spacing w:before="1"/>
        <w:ind w:left="1360"/>
        <w:rPr>
          <w:sz w:val="24"/>
          <w:szCs w:val="24"/>
        </w:rPr>
      </w:pPr>
      <w:r>
        <w:rPr>
          <w:rFonts w:hint="eastAsia"/>
          <w:sz w:val="24"/>
          <w:szCs w:val="24"/>
        </w:rPr>
        <w:t>设备名称</w:t>
      </w:r>
    </w:p>
    <w:p>
      <w:pPr>
        <w:spacing w:before="158"/>
        <w:ind w:left="1360"/>
        <w:rPr>
          <w:sz w:val="24"/>
          <w:szCs w:val="24"/>
        </w:rPr>
      </w:pPr>
      <w:r>
        <w:rPr>
          <w:rFonts w:hint="eastAsia"/>
          <w:sz w:val="24"/>
          <w:szCs w:val="24"/>
        </w:rPr>
        <w:t>主要技术性能</w:t>
      </w:r>
    </w:p>
    <w:p>
      <w:pPr>
        <w:spacing w:before="158"/>
        <w:ind w:left="1360"/>
        <w:rPr>
          <w:sz w:val="24"/>
          <w:szCs w:val="24"/>
        </w:rPr>
      </w:pPr>
      <w:r>
        <w:rPr>
          <w:rFonts w:hint="eastAsia"/>
          <w:sz w:val="24"/>
          <w:szCs w:val="24"/>
        </w:rPr>
        <w:t>制造厂家及制造日期</w:t>
      </w:r>
    </w:p>
    <w:p>
      <w:pPr>
        <w:numPr>
          <w:ilvl w:val="0"/>
          <w:numId w:val="67"/>
        </w:numPr>
        <w:tabs>
          <w:tab w:val="left" w:pos="1721"/>
        </w:tabs>
        <w:spacing w:before="160"/>
        <w:ind w:left="1721"/>
        <w:rPr>
          <w:sz w:val="24"/>
        </w:rPr>
      </w:pPr>
      <w:r>
        <w:rPr>
          <w:rFonts w:hint="eastAsia"/>
          <w:sz w:val="24"/>
        </w:rPr>
        <w:t>主要技术性能应包括如下内容：</w:t>
      </w:r>
    </w:p>
    <w:p>
      <w:pPr>
        <w:spacing w:before="159"/>
        <w:ind w:left="1360"/>
        <w:rPr>
          <w:sz w:val="24"/>
          <w:szCs w:val="24"/>
        </w:rPr>
      </w:pPr>
      <w:r>
        <w:rPr>
          <w:rFonts w:hint="eastAsia"/>
          <w:sz w:val="24"/>
          <w:szCs w:val="24"/>
        </w:rPr>
        <w:t>设备功能及参数（如吊重、速度及其它参数）</w:t>
      </w:r>
    </w:p>
    <w:p>
      <w:pPr>
        <w:spacing w:before="160"/>
        <w:ind w:left="1360"/>
        <w:rPr>
          <w:sz w:val="24"/>
          <w:szCs w:val="24"/>
        </w:rPr>
      </w:pPr>
      <w:r>
        <w:rPr>
          <w:rFonts w:hint="eastAsia"/>
          <w:sz w:val="24"/>
          <w:szCs w:val="24"/>
        </w:rPr>
        <w:t>警告与安全：如压力、安全负荷、操作及保护信息。</w:t>
      </w:r>
    </w:p>
    <w:p>
      <w:pPr>
        <w:numPr>
          <w:ilvl w:val="0"/>
          <w:numId w:val="67"/>
        </w:numPr>
        <w:tabs>
          <w:tab w:val="left" w:pos="1721"/>
        </w:tabs>
        <w:spacing w:before="43" w:line="364" w:lineRule="auto"/>
        <w:ind w:left="880" w:right="905" w:firstLine="480"/>
        <w:rPr>
          <w:sz w:val="24"/>
        </w:rPr>
      </w:pPr>
      <w:r>
        <w:rPr>
          <w:rFonts w:hint="eastAsia"/>
          <w:spacing w:val="-1"/>
          <w:sz w:val="24"/>
        </w:rPr>
        <w:t>设备柜内的部件标志也应为永久性标志，不得使用临时粘贴标志或钢笔</w:t>
      </w:r>
      <w:r>
        <w:rPr>
          <w:rFonts w:hint="eastAsia"/>
          <w:sz w:val="24"/>
        </w:rPr>
        <w:t>识别印记。</w:t>
      </w:r>
    </w:p>
    <w:p>
      <w:pPr>
        <w:numPr>
          <w:ilvl w:val="0"/>
          <w:numId w:val="67"/>
        </w:numPr>
        <w:tabs>
          <w:tab w:val="left" w:pos="1721"/>
        </w:tabs>
        <w:spacing w:line="364" w:lineRule="auto"/>
        <w:ind w:left="880" w:right="1025" w:firstLine="480"/>
        <w:rPr>
          <w:sz w:val="24"/>
        </w:rPr>
      </w:pPr>
      <w:r>
        <w:rPr>
          <w:rFonts w:hint="eastAsia"/>
          <w:spacing w:val="-3"/>
          <w:sz w:val="24"/>
        </w:rPr>
        <w:t xml:space="preserve">铭牌与标志的尽寸应足够大，在正常光线下 </w:t>
      </w:r>
      <w:r>
        <w:rPr>
          <w:rFonts w:hint="eastAsia"/>
          <w:sz w:val="24"/>
        </w:rPr>
        <w:t>2m</w:t>
      </w:r>
      <w:r>
        <w:rPr>
          <w:rFonts w:hint="eastAsia"/>
          <w:spacing w:val="-9"/>
          <w:sz w:val="24"/>
        </w:rPr>
        <w:t xml:space="preserve"> 的距离能看清楚铭牌与</w:t>
      </w:r>
      <w:r>
        <w:rPr>
          <w:rFonts w:hint="eastAsia"/>
          <w:sz w:val="24"/>
        </w:rPr>
        <w:t>标志的文字。</w:t>
      </w:r>
    </w:p>
    <w:p>
      <w:pPr>
        <w:pStyle w:val="8"/>
        <w:ind w:left="1320" w:firstLine="482"/>
      </w:pPr>
      <w:bookmarkStart w:id="72" w:name="4、机械设备参数阐述"/>
      <w:bookmarkEnd w:id="72"/>
      <w:r>
        <w:rPr>
          <w:rFonts w:hint="eastAsia"/>
          <w:lang w:val="en-US"/>
        </w:rPr>
        <w:t>19</w:t>
      </w:r>
      <w:r>
        <w:rPr>
          <w:rFonts w:hint="eastAsia"/>
        </w:rPr>
        <w:t>、机械设备参数阐述</w:t>
      </w:r>
    </w:p>
    <w:p>
      <w:pPr>
        <w:pStyle w:val="9"/>
        <w:ind w:firstLine="482"/>
        <w:rPr>
          <w:bCs w:val="0"/>
        </w:rPr>
      </w:pPr>
      <w:bookmarkStart w:id="73" w:name="4.1电动（灯光）吊杆"/>
      <w:bookmarkEnd w:id="73"/>
      <w:r>
        <w:rPr>
          <w:rFonts w:hint="eastAsia"/>
          <w:lang w:val="en-US"/>
        </w:rPr>
        <w:t>1）</w:t>
      </w:r>
      <w:r>
        <w:rPr>
          <w:rFonts w:hint="eastAsia"/>
        </w:rPr>
        <w:t>电动（灯光）吊杆</w:t>
      </w:r>
    </w:p>
    <w:p>
      <w:pPr>
        <w:spacing w:before="5" w:line="364" w:lineRule="auto"/>
        <w:ind w:left="880" w:right="1025" w:firstLine="480"/>
        <w:jc w:val="both"/>
        <w:rPr>
          <w:sz w:val="24"/>
          <w:szCs w:val="24"/>
        </w:rPr>
      </w:pPr>
      <w:r>
        <w:rPr>
          <w:rFonts w:hint="eastAsia"/>
          <w:spacing w:val="-1"/>
          <w:sz w:val="24"/>
          <w:szCs w:val="24"/>
        </w:rPr>
        <w:t>舞台上空布置的用于悬挂布景或灯具，根据本剧场的建筑结构条件，我们</w:t>
      </w:r>
      <w:r>
        <w:rPr>
          <w:rFonts w:hint="eastAsia"/>
          <w:spacing w:val="-3"/>
          <w:sz w:val="24"/>
          <w:szCs w:val="24"/>
        </w:rPr>
        <w:t xml:space="preserve">选择横置大滚筒吊杆作为景杆的吊机，吊杆的吊点数量为 </w:t>
      </w:r>
      <w:r>
        <w:rPr>
          <w:rFonts w:hint="eastAsia"/>
          <w:sz w:val="24"/>
          <w:szCs w:val="24"/>
        </w:rPr>
        <w:t>4-6</w:t>
      </w:r>
      <w:r>
        <w:rPr>
          <w:rFonts w:hint="eastAsia"/>
          <w:spacing w:val="-11"/>
          <w:sz w:val="24"/>
          <w:szCs w:val="24"/>
        </w:rPr>
        <w:t xml:space="preserve"> 吊点，因此能够</w:t>
      </w:r>
      <w:r>
        <w:rPr>
          <w:rFonts w:hint="eastAsia"/>
          <w:spacing w:val="-1"/>
          <w:sz w:val="24"/>
          <w:szCs w:val="24"/>
        </w:rPr>
        <w:t>有效地保证吊杆杆体的钢性和直度。在行程范围内，吊杆设置上下限位开关， 上极限保护开关，上极限保护开关直接切断电机主回路电源，以便在控制系统失效时也能保证设备和人员安全。除此之外，吊杆，还设置了上下减速开关， 在吊杆接近上下限位以前，提前减速，以确保吊机不会冲出限位位置；吊杆采</w:t>
      </w:r>
      <w:r>
        <w:rPr>
          <w:rFonts w:hint="eastAsia"/>
          <w:sz w:val="24"/>
          <w:szCs w:val="24"/>
        </w:rPr>
        <w:t>用双制动器，制动可靠。</w:t>
      </w:r>
    </w:p>
    <w:p>
      <w:pPr>
        <w:pStyle w:val="9"/>
        <w:ind w:firstLine="482"/>
      </w:pPr>
      <w:r>
        <w:rPr>
          <w:rFonts w:hint="eastAsia"/>
        </w:rPr>
        <w:t xml:space="preserve">电动灯光吊杆技术参数： </w:t>
      </w:r>
    </w:p>
    <w:p>
      <w:pPr>
        <w:spacing w:line="364" w:lineRule="auto"/>
        <w:ind w:right="3702" w:firstLine="960" w:firstLineChars="400"/>
        <w:rPr>
          <w:sz w:val="24"/>
        </w:rPr>
      </w:pPr>
      <w:r>
        <w:rPr>
          <w:rFonts w:hint="eastAsia"/>
          <w:sz w:val="24"/>
        </w:rPr>
        <w:t>单层绕卷卷筒驱动机，高效节能系列</w:t>
      </w:r>
    </w:p>
    <w:p>
      <w:pPr>
        <w:spacing w:line="364" w:lineRule="auto"/>
        <w:ind w:left="880" w:right="7625"/>
        <w:rPr>
          <w:sz w:val="24"/>
          <w:szCs w:val="24"/>
        </w:rPr>
      </w:pPr>
      <w:r>
        <w:rPr>
          <w:rFonts w:hint="eastAsia"/>
          <w:sz w:val="24"/>
          <w:szCs w:val="24"/>
        </w:rPr>
        <w:t>吊点：4-6 个速度：0.15m/s 载 荷 ：6.0kN 行程：10m</w:t>
      </w:r>
    </w:p>
    <w:p>
      <w:pPr>
        <w:spacing w:line="305" w:lineRule="exact"/>
        <w:ind w:left="880"/>
        <w:rPr>
          <w:sz w:val="24"/>
          <w:szCs w:val="24"/>
        </w:rPr>
      </w:pPr>
      <w:r>
        <w:rPr>
          <w:rFonts w:hint="eastAsia"/>
          <w:sz w:val="24"/>
          <w:szCs w:val="24"/>
        </w:rPr>
        <w:t>噪 音：&lt;50dB(A)</w:t>
      </w:r>
    </w:p>
    <w:p>
      <w:pPr>
        <w:spacing w:before="154" w:line="362" w:lineRule="auto"/>
        <w:ind w:left="880" w:right="6785"/>
        <w:rPr>
          <w:sz w:val="24"/>
          <w:szCs w:val="24"/>
        </w:rPr>
      </w:pPr>
      <w:r>
        <w:rPr>
          <w:rFonts w:hint="eastAsia"/>
          <w:sz w:val="24"/>
          <w:szCs w:val="24"/>
        </w:rPr>
        <w:t>钢丝绳安全系数：≥10 电机：交流异步电动机</w:t>
      </w:r>
    </w:p>
    <w:p>
      <w:pPr>
        <w:spacing w:before="5" w:line="364" w:lineRule="auto"/>
        <w:ind w:left="880" w:right="1025"/>
        <w:rPr>
          <w:sz w:val="24"/>
          <w:szCs w:val="24"/>
        </w:rPr>
      </w:pPr>
      <w:r>
        <w:rPr>
          <w:rFonts w:hint="eastAsia"/>
          <w:sz w:val="24"/>
          <w:szCs w:val="24"/>
        </w:rPr>
        <w:t>制动器：低噪音故障保护型安全制动器，使用两个独立的制动器，并设有手动释放装置</w:t>
      </w:r>
    </w:p>
    <w:p>
      <w:pPr>
        <w:spacing w:line="306" w:lineRule="exact"/>
        <w:ind w:left="880"/>
        <w:rPr>
          <w:sz w:val="24"/>
          <w:szCs w:val="24"/>
        </w:rPr>
      </w:pPr>
      <w:r>
        <w:rPr>
          <w:rFonts w:hint="eastAsia"/>
          <w:sz w:val="24"/>
          <w:szCs w:val="24"/>
        </w:rPr>
        <w:t>减速机：斜齿轮减速机</w:t>
      </w:r>
    </w:p>
    <w:p>
      <w:pPr>
        <w:spacing w:before="160" w:line="362" w:lineRule="auto"/>
        <w:ind w:left="880" w:right="4505"/>
        <w:rPr>
          <w:sz w:val="24"/>
          <w:szCs w:val="24"/>
        </w:rPr>
      </w:pPr>
      <w:r>
        <w:rPr>
          <w:rFonts w:hint="eastAsia"/>
          <w:sz w:val="24"/>
          <w:szCs w:val="24"/>
        </w:rPr>
        <w:t>安全及检测装置：位置检测，定位精度±5mm 防护等级：≥IP54</w:t>
      </w:r>
    </w:p>
    <w:p>
      <w:pPr>
        <w:spacing w:before="5"/>
        <w:ind w:left="880"/>
        <w:rPr>
          <w:sz w:val="24"/>
          <w:szCs w:val="24"/>
        </w:rPr>
      </w:pPr>
      <w:r>
        <w:rPr>
          <w:rFonts w:hint="eastAsia"/>
          <w:sz w:val="24"/>
          <w:szCs w:val="24"/>
        </w:rPr>
        <w:t>绝缘等级：F 级</w:t>
      </w:r>
    </w:p>
    <w:p>
      <w:pPr>
        <w:spacing w:before="158" w:line="364" w:lineRule="auto"/>
        <w:ind w:left="880" w:right="2225"/>
        <w:rPr>
          <w:sz w:val="24"/>
          <w:szCs w:val="24"/>
        </w:rPr>
      </w:pPr>
      <w:r>
        <w:rPr>
          <w:rFonts w:hint="eastAsia"/>
          <w:sz w:val="24"/>
          <w:szCs w:val="24"/>
        </w:rPr>
        <w:t>行程限位控制器：上升下降均有两套限位开关，可高精度重复定位基本保护：限位保护、超程保护、超载保护、冲顶断火保护</w:t>
      </w:r>
    </w:p>
    <w:p>
      <w:pPr>
        <w:rPr>
          <w:sz w:val="24"/>
          <w:szCs w:val="24"/>
        </w:rPr>
      </w:pPr>
    </w:p>
    <w:p>
      <w:pPr>
        <w:pStyle w:val="9"/>
        <w:ind w:firstLine="482"/>
      </w:pPr>
      <w:r>
        <w:rPr>
          <w:rFonts w:hint="eastAsia"/>
        </w:rPr>
        <w:t xml:space="preserve">电动吊杆技术参数： </w:t>
      </w:r>
    </w:p>
    <w:p>
      <w:pPr>
        <w:spacing w:before="159" w:line="362" w:lineRule="auto"/>
        <w:ind w:left="1320" w:leftChars="600" w:right="3944"/>
        <w:rPr>
          <w:sz w:val="24"/>
        </w:rPr>
      </w:pPr>
      <w:r>
        <w:rPr>
          <w:rFonts w:hint="eastAsia"/>
          <w:sz w:val="24"/>
        </w:rPr>
        <w:t>单层绕卷卷筒驱动机，高效节能系列</w:t>
      </w:r>
    </w:p>
    <w:p>
      <w:pPr>
        <w:spacing w:before="43" w:line="364" w:lineRule="auto"/>
        <w:ind w:left="880" w:right="5585"/>
        <w:rPr>
          <w:sz w:val="24"/>
          <w:szCs w:val="24"/>
        </w:rPr>
      </w:pPr>
      <w:r>
        <w:rPr>
          <w:rFonts w:hint="eastAsia"/>
          <w:sz w:val="24"/>
          <w:szCs w:val="24"/>
        </w:rPr>
        <w:t>吊点：4-6 个</w:t>
      </w:r>
    </w:p>
    <w:p>
      <w:pPr>
        <w:spacing w:before="43" w:line="364" w:lineRule="auto"/>
        <w:ind w:left="880" w:right="5585"/>
        <w:rPr>
          <w:sz w:val="24"/>
          <w:szCs w:val="24"/>
        </w:rPr>
      </w:pPr>
      <w:r>
        <w:rPr>
          <w:rFonts w:hint="eastAsia"/>
          <w:sz w:val="24"/>
          <w:szCs w:val="24"/>
        </w:rPr>
        <w:t>速度：0.004-0.4m/s（变频调速） 载荷：4.0kN</w:t>
      </w:r>
    </w:p>
    <w:p>
      <w:pPr>
        <w:spacing w:line="306" w:lineRule="exact"/>
        <w:ind w:left="880"/>
        <w:rPr>
          <w:sz w:val="24"/>
          <w:szCs w:val="24"/>
          <w:lang w:val="en-US"/>
        </w:rPr>
      </w:pPr>
      <w:r>
        <w:rPr>
          <w:rFonts w:hint="eastAsia"/>
          <w:sz w:val="24"/>
          <w:szCs w:val="24"/>
        </w:rPr>
        <w:t>行程</w:t>
      </w:r>
      <w:r>
        <w:rPr>
          <w:rFonts w:hint="eastAsia"/>
          <w:sz w:val="24"/>
          <w:szCs w:val="24"/>
          <w:lang w:val="en-US"/>
        </w:rPr>
        <w:t>：16m</w:t>
      </w:r>
    </w:p>
    <w:p>
      <w:pPr>
        <w:spacing w:before="160"/>
        <w:ind w:left="880"/>
        <w:rPr>
          <w:sz w:val="24"/>
          <w:szCs w:val="24"/>
          <w:lang w:val="en-US"/>
        </w:rPr>
      </w:pPr>
      <w:r>
        <w:rPr>
          <w:rFonts w:hint="eastAsia"/>
          <w:sz w:val="24"/>
          <w:szCs w:val="24"/>
        </w:rPr>
        <w:t>噪</w:t>
      </w:r>
      <w:r>
        <w:rPr>
          <w:rFonts w:hint="eastAsia"/>
          <w:sz w:val="24"/>
          <w:szCs w:val="24"/>
          <w:lang w:val="en-US"/>
        </w:rPr>
        <w:t xml:space="preserve"> </w:t>
      </w:r>
      <w:r>
        <w:rPr>
          <w:rFonts w:hint="eastAsia"/>
          <w:sz w:val="24"/>
          <w:szCs w:val="24"/>
        </w:rPr>
        <w:t>音</w:t>
      </w:r>
      <w:r>
        <w:rPr>
          <w:rFonts w:hint="eastAsia"/>
          <w:sz w:val="24"/>
          <w:szCs w:val="24"/>
          <w:lang w:val="en-US"/>
        </w:rPr>
        <w:t>：&lt;50dB(A)</w:t>
      </w:r>
    </w:p>
    <w:p>
      <w:pPr>
        <w:spacing w:before="158" w:line="364" w:lineRule="auto"/>
        <w:ind w:left="880" w:right="6785"/>
        <w:rPr>
          <w:sz w:val="24"/>
          <w:szCs w:val="24"/>
        </w:rPr>
      </w:pPr>
      <w:r>
        <w:rPr>
          <w:rFonts w:hint="eastAsia"/>
          <w:sz w:val="24"/>
          <w:szCs w:val="24"/>
        </w:rPr>
        <w:t>钢丝绳安全系数：≥10 电机：交流异步电动机</w:t>
      </w:r>
    </w:p>
    <w:p>
      <w:pPr>
        <w:spacing w:line="364" w:lineRule="auto"/>
        <w:ind w:left="880" w:right="1025"/>
        <w:rPr>
          <w:sz w:val="24"/>
          <w:szCs w:val="24"/>
        </w:rPr>
      </w:pPr>
      <w:r>
        <w:rPr>
          <w:rFonts w:hint="eastAsia"/>
          <w:sz w:val="24"/>
          <w:szCs w:val="24"/>
        </w:rPr>
        <w:t>制动器：低噪音故障保护型安全制动器，使用两个独立的制动器，并设有手动释放装置</w:t>
      </w:r>
    </w:p>
    <w:p>
      <w:pPr>
        <w:ind w:left="880"/>
        <w:rPr>
          <w:sz w:val="24"/>
          <w:szCs w:val="24"/>
        </w:rPr>
      </w:pPr>
      <w:r>
        <w:rPr>
          <w:rFonts w:hint="eastAsia"/>
          <w:sz w:val="24"/>
          <w:szCs w:val="24"/>
        </w:rPr>
        <w:t>减速机：斜齿轮减速机</w:t>
      </w:r>
    </w:p>
    <w:p>
      <w:pPr>
        <w:spacing w:before="158" w:line="362" w:lineRule="auto"/>
        <w:ind w:left="880" w:right="4505"/>
        <w:rPr>
          <w:sz w:val="24"/>
          <w:szCs w:val="24"/>
        </w:rPr>
      </w:pPr>
      <w:r>
        <w:rPr>
          <w:rFonts w:hint="eastAsia"/>
          <w:sz w:val="24"/>
          <w:szCs w:val="24"/>
        </w:rPr>
        <w:t>安全及检测装置：位置检测，定位精度±5mm 防护等级：≥IP54</w:t>
      </w:r>
    </w:p>
    <w:p>
      <w:pPr>
        <w:spacing w:before="5"/>
        <w:ind w:left="880"/>
        <w:rPr>
          <w:sz w:val="24"/>
          <w:szCs w:val="24"/>
        </w:rPr>
      </w:pPr>
      <w:r>
        <w:rPr>
          <w:rFonts w:hint="eastAsia"/>
          <w:sz w:val="24"/>
          <w:szCs w:val="24"/>
        </w:rPr>
        <w:t>绝缘等级：F 级</w:t>
      </w:r>
    </w:p>
    <w:p>
      <w:pPr>
        <w:spacing w:before="161" w:line="362" w:lineRule="auto"/>
        <w:ind w:left="880" w:right="2225"/>
        <w:rPr>
          <w:sz w:val="24"/>
          <w:szCs w:val="24"/>
        </w:rPr>
      </w:pPr>
      <w:r>
        <w:rPr>
          <w:rFonts w:hint="eastAsia"/>
          <w:sz w:val="24"/>
          <w:szCs w:val="24"/>
        </w:rPr>
        <w:t>行程限位控制器：上升下降均有两套限位开关，可高精度重复定位基本保护：限位保护、超程保护、超载保护、冲顶断火保护</w:t>
      </w:r>
    </w:p>
    <w:p>
      <w:pPr>
        <w:pStyle w:val="9"/>
        <w:ind w:firstLine="456"/>
        <w:rPr>
          <w:bCs w:val="0"/>
        </w:rPr>
      </w:pPr>
      <w:bookmarkStart w:id="74" w:name="4.2舞台机械PLC控制系统"/>
      <w:bookmarkEnd w:id="74"/>
      <w:r>
        <w:rPr>
          <w:rFonts w:hint="eastAsia"/>
          <w:spacing w:val="-13"/>
          <w:lang w:val="en-US"/>
        </w:rPr>
        <w:t>4）</w:t>
      </w:r>
      <w:r>
        <w:rPr>
          <w:rFonts w:hint="eastAsia"/>
          <w:spacing w:val="-13"/>
        </w:rPr>
        <w:t xml:space="preserve">舞台机械 </w:t>
      </w:r>
      <w:r>
        <w:rPr>
          <w:rFonts w:hint="eastAsia"/>
        </w:rPr>
        <w:t>PLC</w:t>
      </w:r>
      <w:r>
        <w:rPr>
          <w:rFonts w:hint="eastAsia"/>
          <w:spacing w:val="-12"/>
        </w:rPr>
        <w:t xml:space="preserve"> 控制系统</w:t>
      </w:r>
    </w:p>
    <w:p>
      <w:pPr>
        <w:spacing w:before="2" w:line="364" w:lineRule="auto"/>
        <w:ind w:left="880" w:right="1025" w:firstLine="480"/>
        <w:jc w:val="both"/>
        <w:rPr>
          <w:sz w:val="24"/>
          <w:szCs w:val="24"/>
        </w:rPr>
      </w:pPr>
      <w:r>
        <w:rPr>
          <w:rFonts w:hint="eastAsia"/>
          <w:sz w:val="24"/>
          <w:szCs w:val="24"/>
        </w:rPr>
        <w:t>控制系统选用当前国际上流行的、代表控制技术发展方向的、成熟可靠的工业级现场总线系统（FCS），它比传统的集散控制系统（DCS）先进、抗干扰能力高、通用开放性好，是完全的网络化控制系统。</w:t>
      </w:r>
    </w:p>
    <w:p>
      <w:pPr>
        <w:spacing w:line="364" w:lineRule="auto"/>
        <w:ind w:left="880" w:right="1025" w:firstLine="480"/>
        <w:rPr>
          <w:sz w:val="24"/>
          <w:szCs w:val="24"/>
        </w:rPr>
      </w:pPr>
      <w:r>
        <w:rPr>
          <w:rFonts w:hint="eastAsia"/>
          <w:sz w:val="24"/>
          <w:szCs w:val="24"/>
        </w:rPr>
        <w:t>整个舞台机械操作系统由主控制系统、移动式控制系统和紧急停机系统三部分组成。</w:t>
      </w:r>
    </w:p>
    <w:p>
      <w:pPr>
        <w:spacing w:line="364" w:lineRule="auto"/>
        <w:ind w:left="880" w:right="1025" w:firstLine="480"/>
        <w:jc w:val="both"/>
        <w:rPr>
          <w:sz w:val="24"/>
          <w:szCs w:val="24"/>
        </w:rPr>
      </w:pPr>
      <w:r>
        <w:rPr>
          <w:rFonts w:hint="eastAsia"/>
          <w:sz w:val="24"/>
          <w:szCs w:val="24"/>
        </w:rPr>
        <w:t>主控制系统提供正常情况下的全功能控制与操作，包括单体设备控制、设备联锁、设备状态监视、预选择设备、设定运行参数、场景物理参数、编组运行、场景记忆运行、场景序列运行、故障诊断、系统维护等。</w:t>
      </w:r>
    </w:p>
    <w:p>
      <w:pPr>
        <w:spacing w:line="364" w:lineRule="auto"/>
        <w:ind w:left="880" w:right="905" w:firstLine="480"/>
        <w:rPr>
          <w:sz w:val="24"/>
          <w:szCs w:val="24"/>
        </w:rPr>
      </w:pPr>
      <w:r>
        <w:rPr>
          <w:rFonts w:hint="eastAsia"/>
          <w:sz w:val="24"/>
          <w:szCs w:val="24"/>
        </w:rPr>
        <w:t>主控系统分为三个层次，最上面一层为上位机，中间一层位主控制器，由PLC</w:t>
      </w:r>
      <w:r>
        <w:rPr>
          <w:rFonts w:hint="eastAsia"/>
          <w:spacing w:val="-8"/>
          <w:sz w:val="24"/>
          <w:szCs w:val="24"/>
        </w:rPr>
        <w:t xml:space="preserve"> 组成，底层为现场控制设备，选用矢量变频器等作为控制器。上位机与控</w:t>
      </w:r>
      <w:r>
        <w:rPr>
          <w:rFonts w:hint="eastAsia"/>
          <w:spacing w:val="-16"/>
          <w:sz w:val="24"/>
          <w:szCs w:val="24"/>
        </w:rPr>
        <w:t xml:space="preserve">制器之间通过 </w:t>
      </w:r>
      <w:r>
        <w:rPr>
          <w:rFonts w:hint="eastAsia"/>
          <w:sz w:val="24"/>
          <w:szCs w:val="24"/>
        </w:rPr>
        <w:t>MODBUS PLUS 网络通讯。MODBUS PLUS</w:t>
      </w:r>
      <w:r>
        <w:rPr>
          <w:rFonts w:hint="eastAsia"/>
          <w:spacing w:val="-20"/>
          <w:sz w:val="24"/>
          <w:szCs w:val="24"/>
        </w:rPr>
        <w:t xml:space="preserve"> 是 </w:t>
      </w:r>
      <w:r>
        <w:rPr>
          <w:rFonts w:hint="eastAsia"/>
          <w:sz w:val="24"/>
          <w:szCs w:val="24"/>
        </w:rPr>
        <w:t>MODICIN</w:t>
      </w:r>
      <w:r>
        <w:rPr>
          <w:rFonts w:hint="eastAsia"/>
          <w:spacing w:val="-3"/>
          <w:sz w:val="24"/>
          <w:szCs w:val="24"/>
        </w:rPr>
        <w:t xml:space="preserve"> 公司开发的用</w:t>
      </w:r>
      <w:r>
        <w:rPr>
          <w:rFonts w:hint="eastAsia"/>
          <w:sz w:val="24"/>
          <w:szCs w:val="24"/>
        </w:rPr>
        <w:t>于实时工业控制的网络，它可使得主控计算机、人机界面和控制器、现场设备之间在整个网络上作为同位体进行通讯，作为一个判定性令牌传递网络， MODBUS PLUS</w:t>
      </w:r>
      <w:r>
        <w:rPr>
          <w:rFonts w:hint="eastAsia"/>
          <w:spacing w:val="-40"/>
          <w:sz w:val="24"/>
          <w:szCs w:val="24"/>
        </w:rPr>
        <w:t xml:space="preserve"> 以 </w:t>
      </w:r>
      <w:r>
        <w:rPr>
          <w:rFonts w:hint="eastAsia"/>
          <w:sz w:val="24"/>
          <w:szCs w:val="24"/>
        </w:rPr>
        <w:t>1M</w:t>
      </w:r>
      <w:r>
        <w:rPr>
          <w:rFonts w:hint="eastAsia"/>
          <w:spacing w:val="-8"/>
          <w:sz w:val="24"/>
          <w:szCs w:val="24"/>
        </w:rPr>
        <w:t xml:space="preserve"> 的波特率进行通讯，快速存取过程数据，具有实时控制装置</w:t>
      </w:r>
      <w:r>
        <w:rPr>
          <w:rFonts w:hint="eastAsia"/>
          <w:sz w:val="24"/>
          <w:szCs w:val="24"/>
        </w:rPr>
        <w:t>的能力，不会因加载或通讯量的原因下降性能。控制器与底层设备之间的通讯选用 PROFIBUS DP 总线。</w:t>
      </w:r>
    </w:p>
    <w:p>
      <w:pPr>
        <w:spacing w:line="364" w:lineRule="auto"/>
        <w:ind w:left="880" w:right="1025" w:firstLine="480"/>
        <w:rPr>
          <w:sz w:val="24"/>
          <w:szCs w:val="24"/>
        </w:rPr>
      </w:pPr>
      <w:r>
        <w:rPr>
          <w:rFonts w:hint="eastAsia"/>
          <w:sz w:val="24"/>
          <w:szCs w:val="24"/>
        </w:rPr>
        <w:t xml:space="preserve">舞台机械控制台包括设备主操作台、便携式操作台，之间的操作互不冲 </w:t>
      </w:r>
      <w:r>
        <w:rPr>
          <w:rFonts w:hint="eastAsia"/>
          <w:spacing w:val="-1"/>
          <w:sz w:val="24"/>
          <w:szCs w:val="24"/>
        </w:rPr>
        <w:t>突，只能选择其中之一对设备进行操作；主操作台的控制权限为最高。在主控台上对编组设备的运行参数设置完成后，便携式操作台可以对设置数据进行运</w:t>
      </w:r>
      <w:r>
        <w:rPr>
          <w:rFonts w:hint="eastAsia"/>
          <w:sz w:val="24"/>
          <w:szCs w:val="24"/>
        </w:rPr>
        <w:t>用，实现对计算机的数据备份，进一步提高系统可靠性。</w:t>
      </w:r>
    </w:p>
    <w:p>
      <w:pPr>
        <w:spacing w:line="364" w:lineRule="auto"/>
        <w:ind w:left="880" w:right="1025" w:firstLine="480"/>
        <w:rPr>
          <w:sz w:val="24"/>
          <w:szCs w:val="24"/>
        </w:rPr>
      </w:pPr>
      <w:r>
        <w:rPr>
          <w:rFonts w:hint="eastAsia"/>
          <w:spacing w:val="-1"/>
          <w:sz w:val="24"/>
          <w:szCs w:val="24"/>
        </w:rPr>
        <w:t>舞台机械设备控制与操作设计开发的专用软件，提供良好的人机界面，操作简单明确，并具有图形数字显示、屏幕菜单操作、自动记忆、在线帮助、故</w:t>
      </w:r>
      <w:r>
        <w:rPr>
          <w:rFonts w:hint="eastAsia"/>
          <w:sz w:val="24"/>
          <w:szCs w:val="24"/>
        </w:rPr>
        <w:t xml:space="preserve">障诊断、故障处理提示等功能。操作方式为键盘操作结合鼠标点击画面的方 </w:t>
      </w:r>
      <w:r>
        <w:rPr>
          <w:rFonts w:hint="eastAsia"/>
          <w:spacing w:val="-3"/>
          <w:sz w:val="24"/>
          <w:szCs w:val="24"/>
        </w:rPr>
        <w:t xml:space="preserve">式，特殊对话框的弹出实时、准确无误。控制软件是基于 </w:t>
      </w:r>
      <w:r>
        <w:rPr>
          <w:rFonts w:hint="eastAsia"/>
          <w:sz w:val="24"/>
          <w:szCs w:val="24"/>
        </w:rPr>
        <w:t>Windows</w:t>
      </w:r>
      <w:r>
        <w:rPr>
          <w:rFonts w:hint="eastAsia"/>
          <w:spacing w:val="-14"/>
          <w:sz w:val="24"/>
          <w:szCs w:val="24"/>
        </w:rPr>
        <w:t xml:space="preserve"> 操作系统下</w:t>
      </w:r>
      <w:r>
        <w:rPr>
          <w:rFonts w:hint="eastAsia"/>
          <w:spacing w:val="-1"/>
          <w:sz w:val="24"/>
          <w:szCs w:val="24"/>
        </w:rPr>
        <w:t>开发的。操作界面和工程组台等均为中文版本，以便于操作人员的使用。根据</w:t>
      </w:r>
      <w:r>
        <w:rPr>
          <w:rFonts w:hint="eastAsia"/>
          <w:sz w:val="24"/>
          <w:szCs w:val="24"/>
        </w:rPr>
        <w:t>演出的需要可以实现以下的操作模式：</w:t>
      </w:r>
    </w:p>
    <w:p>
      <w:pPr>
        <w:spacing w:line="362" w:lineRule="auto"/>
        <w:ind w:left="880" w:right="1025" w:firstLine="480"/>
        <w:rPr>
          <w:sz w:val="24"/>
          <w:szCs w:val="24"/>
        </w:rPr>
      </w:pPr>
      <w:r>
        <w:rPr>
          <w:rFonts w:hint="eastAsia"/>
          <w:sz w:val="24"/>
          <w:szCs w:val="24"/>
        </w:rPr>
        <w:t>程控：程序控制是将整个剧目需运行的设备设成多种场次，编成程序，在上位机监控下按单场/全场两种方式运行。</w:t>
      </w:r>
    </w:p>
    <w:p>
      <w:pPr>
        <w:spacing w:line="362" w:lineRule="auto"/>
        <w:ind w:left="880" w:right="1025" w:firstLine="480"/>
        <w:rPr>
          <w:sz w:val="24"/>
          <w:szCs w:val="24"/>
        </w:rPr>
      </w:pPr>
      <w:r>
        <w:rPr>
          <w:rFonts w:hint="eastAsia"/>
          <w:sz w:val="24"/>
          <w:szCs w:val="24"/>
        </w:rPr>
        <w:t>单控。操作人员通过单独选择设备，按速度和位置进行点动控制和单独控制。</w:t>
      </w:r>
    </w:p>
    <w:p>
      <w:pPr>
        <w:spacing w:before="5" w:line="364" w:lineRule="auto"/>
        <w:ind w:left="880" w:right="1025" w:firstLine="480"/>
        <w:rPr>
          <w:sz w:val="24"/>
          <w:szCs w:val="24"/>
        </w:rPr>
      </w:pPr>
      <w:r>
        <w:rPr>
          <w:rFonts w:hint="eastAsia"/>
          <w:sz w:val="24"/>
          <w:szCs w:val="24"/>
        </w:rPr>
        <w:t xml:space="preserve">集控。集控是在单独控制的基础上，按不同的速度和位置值进行记忆编 </w:t>
      </w:r>
      <w:r>
        <w:rPr>
          <w:rFonts w:hint="eastAsia"/>
          <w:spacing w:val="-1"/>
          <w:sz w:val="24"/>
          <w:szCs w:val="24"/>
        </w:rPr>
        <w:t>组，同时运行的一种操作方式。如根据场景的需要，对所要运行的设备进行预</w:t>
      </w:r>
      <w:r>
        <w:rPr>
          <w:rFonts w:hint="eastAsia"/>
          <w:sz w:val="24"/>
          <w:szCs w:val="24"/>
        </w:rPr>
        <w:t xml:space="preserve">先设置、编组，编组内的设备可以在同一时间以不同的动作、方向、速度运 </w:t>
      </w:r>
      <w:r>
        <w:rPr>
          <w:rFonts w:hint="eastAsia"/>
          <w:spacing w:val="-1"/>
          <w:sz w:val="24"/>
          <w:szCs w:val="24"/>
        </w:rPr>
        <w:t>行，可以由不同的目标位置、不同时启动、不同时停止；同时还能完成对任一控制对象或编组设备进行目标位置、定位位置、运行速度、运行时间、运行曲</w:t>
      </w:r>
      <w:r>
        <w:rPr>
          <w:rFonts w:hint="eastAsia"/>
          <w:sz w:val="24"/>
          <w:szCs w:val="24"/>
        </w:rPr>
        <w:t>线等参数进行预置，并可随时进行干预控制，编组场次不受限制。</w:t>
      </w:r>
    </w:p>
    <w:p>
      <w:pPr>
        <w:spacing w:line="304" w:lineRule="exact"/>
        <w:ind w:left="880"/>
        <w:rPr>
          <w:sz w:val="24"/>
          <w:szCs w:val="24"/>
        </w:rPr>
      </w:pPr>
      <w:bookmarkStart w:id="75" w:name="电气装置与元件"/>
      <w:bookmarkEnd w:id="75"/>
      <w:r>
        <w:rPr>
          <w:rFonts w:hint="eastAsia"/>
          <w:sz w:val="24"/>
          <w:szCs w:val="24"/>
        </w:rPr>
        <w:t>电气装置与元件</w:t>
      </w:r>
    </w:p>
    <w:p>
      <w:pPr>
        <w:spacing w:before="160" w:line="362" w:lineRule="auto"/>
        <w:ind w:left="880" w:right="1025" w:firstLine="480"/>
        <w:rPr>
          <w:sz w:val="24"/>
          <w:szCs w:val="24"/>
        </w:rPr>
      </w:pPr>
      <w:r>
        <w:rPr>
          <w:rFonts w:hint="eastAsia"/>
          <w:sz w:val="24"/>
          <w:szCs w:val="24"/>
        </w:rPr>
        <w:t>控制系统由监控软件、编程软件以及可编程控制器、变频器、操作台、显示器、工控机、位置检测系统等硬件组成。</w:t>
      </w:r>
    </w:p>
    <w:p>
      <w:pPr>
        <w:spacing w:before="3" w:line="364" w:lineRule="auto"/>
        <w:ind w:left="880" w:right="905" w:firstLine="480"/>
        <w:rPr>
          <w:sz w:val="24"/>
          <w:szCs w:val="24"/>
        </w:rPr>
      </w:pPr>
      <w:r>
        <w:rPr>
          <w:rFonts w:hint="eastAsia"/>
          <w:spacing w:val="-3"/>
          <w:sz w:val="24"/>
          <w:szCs w:val="24"/>
        </w:rPr>
        <w:t xml:space="preserve">对于可编程控制器我们选用的是国外顶尖品牌的 </w:t>
      </w:r>
      <w:r>
        <w:rPr>
          <w:rFonts w:hint="eastAsia"/>
          <w:sz w:val="24"/>
          <w:szCs w:val="24"/>
        </w:rPr>
        <w:t>PLC</w:t>
      </w:r>
      <w:r>
        <w:rPr>
          <w:rFonts w:hint="eastAsia"/>
          <w:spacing w:val="-8"/>
          <w:sz w:val="24"/>
          <w:szCs w:val="24"/>
        </w:rPr>
        <w:t xml:space="preserve"> 组成的面向中大型应</w:t>
      </w:r>
      <w:r>
        <w:rPr>
          <w:rFonts w:hint="eastAsia"/>
          <w:spacing w:val="-11"/>
          <w:sz w:val="24"/>
          <w:szCs w:val="24"/>
        </w:rPr>
        <w:t xml:space="preserve">用的高性能控制系统。微机控制台主机采用工业控制 </w:t>
      </w:r>
      <w:r>
        <w:rPr>
          <w:rFonts w:hint="eastAsia"/>
          <w:sz w:val="24"/>
          <w:szCs w:val="24"/>
        </w:rPr>
        <w:t>PC</w:t>
      </w:r>
      <w:r>
        <w:rPr>
          <w:rFonts w:hint="eastAsia"/>
          <w:spacing w:val="-9"/>
          <w:sz w:val="24"/>
          <w:szCs w:val="24"/>
        </w:rPr>
        <w:t xml:space="preserve"> 机，作为工控界的知名</w:t>
      </w:r>
      <w:r>
        <w:rPr>
          <w:rFonts w:hint="eastAsia"/>
          <w:sz w:val="24"/>
          <w:szCs w:val="24"/>
        </w:rPr>
        <w:t>品牌，工控机具有较高的可靠性，并且能够抵抗震动，灰尘、电源干扰等恶劣工业环境。</w:t>
      </w:r>
    </w:p>
    <w:p>
      <w:pPr>
        <w:spacing w:before="43" w:line="364" w:lineRule="auto"/>
        <w:ind w:left="880" w:right="1025" w:firstLine="480"/>
        <w:jc w:val="both"/>
        <w:rPr>
          <w:sz w:val="24"/>
          <w:szCs w:val="24"/>
        </w:rPr>
      </w:pPr>
      <w:r>
        <w:rPr>
          <w:rFonts w:hint="eastAsia"/>
          <w:sz w:val="24"/>
          <w:szCs w:val="24"/>
        </w:rPr>
        <w:t>配套的位置检测用旋转编码采用进口增量型编码器，编码器采用全封闭结构，加上其优质轴承等配件，保证在剧场中相对机会较多的使用条件下，长期可靠地使用。</w:t>
      </w:r>
    </w:p>
    <w:p>
      <w:pPr>
        <w:spacing w:line="364" w:lineRule="auto"/>
        <w:ind w:left="880" w:right="1025" w:firstLine="480"/>
        <w:jc w:val="both"/>
        <w:rPr>
          <w:sz w:val="24"/>
          <w:szCs w:val="24"/>
        </w:rPr>
      </w:pPr>
      <w:r>
        <w:rPr>
          <w:rFonts w:hint="eastAsia"/>
          <w:spacing w:val="-1"/>
          <w:sz w:val="24"/>
          <w:szCs w:val="24"/>
        </w:rPr>
        <w:t>作为交流电机的调速装置，一般采用变频调速器。在本方案中，我们选用</w:t>
      </w:r>
      <w:r>
        <w:rPr>
          <w:rFonts w:hint="eastAsia"/>
          <w:spacing w:val="-4"/>
          <w:sz w:val="24"/>
          <w:szCs w:val="24"/>
        </w:rPr>
        <w:t xml:space="preserve">的是矢量变频器，在零速时最小可达 </w:t>
      </w:r>
      <w:r>
        <w:rPr>
          <w:rFonts w:hint="eastAsia"/>
          <w:sz w:val="24"/>
          <w:szCs w:val="24"/>
        </w:rPr>
        <w:t>150%</w:t>
      </w:r>
      <w:r>
        <w:rPr>
          <w:rFonts w:hint="eastAsia"/>
          <w:spacing w:val="-5"/>
          <w:sz w:val="24"/>
          <w:szCs w:val="24"/>
        </w:rPr>
        <w:t xml:space="preserve">输出转矩，转矩提升时间约为 </w:t>
      </w:r>
      <w:r>
        <w:rPr>
          <w:rFonts w:hint="eastAsia"/>
          <w:sz w:val="24"/>
          <w:szCs w:val="24"/>
        </w:rPr>
        <w:t>8ms</w:t>
      </w:r>
      <w:r>
        <w:rPr>
          <w:rFonts w:hint="eastAsia"/>
          <w:spacing w:val="-19"/>
          <w:sz w:val="24"/>
          <w:szCs w:val="24"/>
        </w:rPr>
        <w:t>。</w:t>
      </w:r>
      <w:r>
        <w:rPr>
          <w:rFonts w:hint="eastAsia"/>
          <w:sz w:val="24"/>
          <w:szCs w:val="24"/>
        </w:rPr>
        <w:t>具有控制方式灵活、动态响应快，运行精度高，性能可靠的优点。</w:t>
      </w:r>
    </w:p>
    <w:p>
      <w:pPr>
        <w:spacing w:line="364" w:lineRule="auto"/>
        <w:ind w:left="880" w:right="1025" w:firstLine="480"/>
        <w:jc w:val="both"/>
        <w:rPr>
          <w:sz w:val="24"/>
          <w:szCs w:val="24"/>
        </w:rPr>
      </w:pPr>
      <w:r>
        <w:rPr>
          <w:rFonts w:hint="eastAsia"/>
          <w:spacing w:val="-1"/>
          <w:sz w:val="24"/>
          <w:szCs w:val="24"/>
        </w:rPr>
        <w:t>作为控制系统的输出元件，强电柜的质量也是不容忽视的，我们们在强电柜中所使用的元器件采用的是国际知名的空气开关、接触器、热继电器。接触</w:t>
      </w:r>
      <w:r>
        <w:rPr>
          <w:rFonts w:hint="eastAsia"/>
          <w:spacing w:val="-10"/>
          <w:sz w:val="24"/>
          <w:szCs w:val="24"/>
        </w:rPr>
        <w:t xml:space="preserve">器线圈采用 </w:t>
      </w:r>
      <w:r>
        <w:rPr>
          <w:rFonts w:hint="eastAsia"/>
          <w:sz w:val="24"/>
          <w:szCs w:val="24"/>
        </w:rPr>
        <w:t>24V</w:t>
      </w:r>
      <w:r>
        <w:rPr>
          <w:rFonts w:hint="eastAsia"/>
          <w:spacing w:val="-11"/>
          <w:sz w:val="24"/>
          <w:szCs w:val="24"/>
        </w:rPr>
        <w:t xml:space="preserve"> 安全电压，保证操作人员的人身安全，控制柜和 </w:t>
      </w:r>
      <w:r>
        <w:rPr>
          <w:rFonts w:hint="eastAsia"/>
          <w:sz w:val="24"/>
          <w:szCs w:val="24"/>
        </w:rPr>
        <w:t>PLC</w:t>
      </w:r>
      <w:r>
        <w:rPr>
          <w:rFonts w:hint="eastAsia"/>
          <w:spacing w:val="-16"/>
          <w:sz w:val="24"/>
          <w:szCs w:val="24"/>
        </w:rPr>
        <w:t xml:space="preserve"> 柜都采用</w:t>
      </w:r>
      <w:r>
        <w:rPr>
          <w:rFonts w:hint="eastAsia"/>
          <w:spacing w:val="-1"/>
          <w:sz w:val="24"/>
          <w:szCs w:val="24"/>
        </w:rPr>
        <w:t>经过防腐处理的钢板钢性制作，必要时用钢板或型钢的框架加强，具有防尘和防潮措施。除通风处和电缆进出口处外，所有机柜和机架全部封闭，每个机柜的深度能保证适当的设备和接线空间，所有机柜的深度、高度和颜色都相同。</w:t>
      </w:r>
    </w:p>
    <w:p>
      <w:pPr>
        <w:spacing w:line="362" w:lineRule="auto"/>
        <w:ind w:left="1360" w:right="1505"/>
        <w:rPr>
          <w:sz w:val="24"/>
          <w:szCs w:val="24"/>
        </w:rPr>
      </w:pPr>
      <w:r>
        <w:rPr>
          <w:rFonts w:hint="eastAsia"/>
          <w:spacing w:val="-1"/>
          <w:sz w:val="24"/>
          <w:szCs w:val="24"/>
        </w:rPr>
        <w:t xml:space="preserve">为了保证舞台设备的安全性和可靠性，本系统中采用了以下的措施： </w:t>
      </w:r>
      <w:r>
        <w:rPr>
          <w:rFonts w:hint="eastAsia"/>
          <w:sz w:val="24"/>
          <w:szCs w:val="24"/>
        </w:rPr>
        <w:t>过载、过流、短路保护；</w:t>
      </w:r>
    </w:p>
    <w:p>
      <w:pPr>
        <w:ind w:left="1360"/>
        <w:rPr>
          <w:sz w:val="24"/>
          <w:szCs w:val="24"/>
        </w:rPr>
      </w:pPr>
      <w:r>
        <w:rPr>
          <w:rFonts w:hint="eastAsia"/>
          <w:sz w:val="24"/>
          <w:szCs w:val="24"/>
        </w:rPr>
        <w:t>超载、限位、极限保护；</w:t>
      </w:r>
    </w:p>
    <w:p>
      <w:pPr>
        <w:spacing w:before="158"/>
        <w:ind w:left="1360"/>
        <w:rPr>
          <w:sz w:val="24"/>
          <w:szCs w:val="24"/>
        </w:rPr>
      </w:pPr>
      <w:r>
        <w:rPr>
          <w:rFonts w:hint="eastAsia"/>
          <w:sz w:val="24"/>
          <w:szCs w:val="24"/>
        </w:rPr>
        <w:t>钥匙开关电源、急停按钮保护；</w:t>
      </w:r>
    </w:p>
    <w:p>
      <w:pPr>
        <w:spacing w:before="160" w:line="362" w:lineRule="auto"/>
        <w:ind w:left="1360" w:right="4865"/>
        <w:rPr>
          <w:sz w:val="24"/>
          <w:szCs w:val="24"/>
        </w:rPr>
      </w:pPr>
      <w:r>
        <w:rPr>
          <w:rFonts w:hint="eastAsia"/>
          <w:sz w:val="24"/>
          <w:szCs w:val="24"/>
        </w:rPr>
        <w:t>设置运行确认按钮和运行指示系统； 故障报警与显示；</w:t>
      </w:r>
    </w:p>
    <w:p>
      <w:pPr>
        <w:spacing w:before="5"/>
        <w:ind w:left="1360"/>
        <w:rPr>
          <w:sz w:val="24"/>
          <w:szCs w:val="24"/>
        </w:rPr>
      </w:pPr>
      <w:r>
        <w:rPr>
          <w:rFonts w:hint="eastAsia"/>
          <w:sz w:val="24"/>
          <w:szCs w:val="24"/>
        </w:rPr>
        <w:t>优质可靠的传动及控制设备、零部件与元器件；</w:t>
      </w:r>
    </w:p>
    <w:p>
      <w:pPr>
        <w:spacing w:before="158" w:line="364" w:lineRule="auto"/>
        <w:ind w:left="880" w:right="1025" w:firstLine="480"/>
        <w:rPr>
          <w:sz w:val="24"/>
          <w:szCs w:val="24"/>
        </w:rPr>
      </w:pPr>
      <w:r>
        <w:rPr>
          <w:rFonts w:hint="eastAsia"/>
          <w:sz w:val="24"/>
          <w:szCs w:val="24"/>
        </w:rPr>
        <w:t>安全合理的操作规程，对有关操作人员的严格培训，为用户提供完整的技术资料；</w:t>
      </w:r>
    </w:p>
    <w:p>
      <w:pPr>
        <w:spacing w:line="306" w:lineRule="exact"/>
        <w:ind w:left="1360"/>
        <w:rPr>
          <w:sz w:val="24"/>
          <w:szCs w:val="24"/>
        </w:rPr>
      </w:pPr>
      <w:r>
        <w:rPr>
          <w:rFonts w:hint="eastAsia"/>
          <w:sz w:val="24"/>
          <w:szCs w:val="24"/>
        </w:rPr>
        <w:t>完善的技术服务措施。</w:t>
      </w:r>
    </w:p>
    <w:p>
      <w:pPr>
        <w:spacing w:before="161" w:line="364" w:lineRule="auto"/>
        <w:ind w:left="880" w:right="1025" w:firstLine="480"/>
        <w:rPr>
          <w:sz w:val="24"/>
          <w:szCs w:val="24"/>
        </w:rPr>
      </w:pPr>
      <w:r>
        <w:rPr>
          <w:rFonts w:hint="eastAsia"/>
          <w:sz w:val="24"/>
          <w:szCs w:val="24"/>
        </w:rPr>
        <w:t>舞台控制系统，既要求操作简便、控制灵活，技术要求高，又要求保障整个系统运行的绝对安全。</w:t>
      </w:r>
    </w:p>
    <w:p>
      <w:pPr>
        <w:pStyle w:val="5"/>
      </w:pPr>
      <w:bookmarkStart w:id="76" w:name="二、舞台灯光系统"/>
      <w:bookmarkEnd w:id="76"/>
      <w:bookmarkStart w:id="77" w:name="_bookmark1"/>
      <w:bookmarkEnd w:id="77"/>
      <w:r>
        <w:rPr>
          <w:rFonts w:hint="eastAsia"/>
        </w:rPr>
        <w:t>2</w:t>
      </w:r>
      <w:r>
        <w:t>.2</w:t>
      </w:r>
      <w:r>
        <w:rPr>
          <w:rFonts w:hint="eastAsia"/>
        </w:rPr>
        <w:t>、舞台灯光系统</w:t>
      </w:r>
    </w:p>
    <w:p>
      <w:pPr>
        <w:spacing w:before="185"/>
        <w:ind w:left="880"/>
        <w:rPr>
          <w:sz w:val="24"/>
          <w:szCs w:val="24"/>
        </w:rPr>
      </w:pPr>
      <w:r>
        <w:rPr>
          <w:rFonts w:hint="eastAsia"/>
          <w:sz w:val="24"/>
          <w:szCs w:val="24"/>
        </w:rPr>
        <w:t>1、改造目标</w:t>
      </w:r>
    </w:p>
    <w:p>
      <w:pPr>
        <w:spacing w:before="160" w:line="364" w:lineRule="auto"/>
        <w:ind w:left="1319" w:right="944" w:firstLine="480"/>
        <w:jc w:val="both"/>
        <w:rPr>
          <w:sz w:val="24"/>
          <w:szCs w:val="24"/>
        </w:rPr>
      </w:pPr>
      <w:r>
        <w:rPr>
          <w:rFonts w:hint="eastAsia"/>
          <w:spacing w:val="-1"/>
          <w:sz w:val="24"/>
          <w:szCs w:val="24"/>
        </w:rPr>
        <w:t>该 “舞台灯光系统”的设备改造配置，依据技术先进、安全适用、经济合理、节约能源和保护环境的目标设计，为方便更换灯具安装,所有灯位</w:t>
      </w:r>
      <w:r>
        <w:rPr>
          <w:rFonts w:hint="eastAsia"/>
          <w:spacing w:val="-3"/>
          <w:sz w:val="24"/>
          <w:szCs w:val="24"/>
        </w:rPr>
        <w:t xml:space="preserve">配备有电缆收线筐、灯光线槽、灯光插座、并在线槽上留有 </w:t>
      </w:r>
      <w:r>
        <w:rPr>
          <w:rFonts w:hint="eastAsia"/>
          <w:sz w:val="24"/>
          <w:szCs w:val="24"/>
        </w:rPr>
        <w:t>DMX512</w:t>
      </w:r>
      <w:r>
        <w:rPr>
          <w:rFonts w:hint="eastAsia"/>
          <w:spacing w:val="-20"/>
          <w:sz w:val="24"/>
          <w:szCs w:val="24"/>
        </w:rPr>
        <w:t xml:space="preserve"> 信号通</w:t>
      </w:r>
      <w:r>
        <w:rPr>
          <w:rFonts w:hint="eastAsia"/>
          <w:sz w:val="24"/>
          <w:szCs w:val="24"/>
        </w:rPr>
        <w:t>讯口等，方便其余相关专业使用。并满足以下要求：</w:t>
      </w:r>
    </w:p>
    <w:p>
      <w:pPr>
        <w:numPr>
          <w:ilvl w:val="0"/>
          <w:numId w:val="68"/>
        </w:numPr>
        <w:tabs>
          <w:tab w:val="left" w:pos="1860"/>
        </w:tabs>
        <w:spacing w:before="116"/>
        <w:ind w:left="1859" w:hanging="421"/>
        <w:rPr>
          <w:sz w:val="24"/>
        </w:rPr>
      </w:pPr>
      <w:r>
        <w:rPr>
          <w:rFonts w:hint="eastAsia"/>
          <w:sz w:val="24"/>
        </w:rPr>
        <w:t>能够满足大型文艺演出、歌舞晚会并兼顾一定的会议使用功能</w:t>
      </w:r>
    </w:p>
    <w:p>
      <w:pPr>
        <w:spacing w:before="11"/>
        <w:rPr>
          <w:sz w:val="27"/>
          <w:szCs w:val="24"/>
        </w:rPr>
      </w:pPr>
    </w:p>
    <w:p>
      <w:pPr>
        <w:numPr>
          <w:ilvl w:val="0"/>
          <w:numId w:val="68"/>
        </w:numPr>
        <w:tabs>
          <w:tab w:val="left" w:pos="1860"/>
        </w:tabs>
        <w:ind w:left="1859" w:hanging="421"/>
        <w:rPr>
          <w:sz w:val="24"/>
        </w:rPr>
      </w:pPr>
      <w:r>
        <w:rPr>
          <w:rFonts w:hint="eastAsia"/>
          <w:sz w:val="24"/>
        </w:rPr>
        <w:t>能够满足专业摄影摄像的要求</w:t>
      </w:r>
    </w:p>
    <w:p>
      <w:pPr>
        <w:spacing w:before="12"/>
        <w:rPr>
          <w:sz w:val="27"/>
          <w:szCs w:val="24"/>
        </w:rPr>
      </w:pPr>
    </w:p>
    <w:p>
      <w:pPr>
        <w:numPr>
          <w:ilvl w:val="0"/>
          <w:numId w:val="68"/>
        </w:numPr>
        <w:tabs>
          <w:tab w:val="left" w:pos="1860"/>
        </w:tabs>
        <w:ind w:left="1859" w:hanging="421"/>
        <w:rPr>
          <w:sz w:val="24"/>
        </w:rPr>
      </w:pPr>
      <w:r>
        <w:rPr>
          <w:rFonts w:hint="eastAsia"/>
          <w:sz w:val="24"/>
        </w:rPr>
        <w:t>系统及设备体现现代先进水平</w:t>
      </w:r>
    </w:p>
    <w:p>
      <w:pPr>
        <w:numPr>
          <w:ilvl w:val="0"/>
          <w:numId w:val="68"/>
        </w:numPr>
        <w:tabs>
          <w:tab w:val="left" w:pos="1860"/>
        </w:tabs>
        <w:spacing w:before="17" w:line="660" w:lineRule="atLeast"/>
        <w:ind w:right="1724" w:firstLine="559"/>
        <w:rPr>
          <w:b/>
          <w:sz w:val="24"/>
        </w:rPr>
      </w:pPr>
      <w:r>
        <w:rPr>
          <w:rFonts w:hint="eastAsia"/>
          <w:spacing w:val="-1"/>
          <w:sz w:val="24"/>
        </w:rPr>
        <w:t>设备运行实施智能化管理，体现快捷、低耗、低成本的特点。</w:t>
      </w:r>
      <w:r>
        <w:rPr>
          <w:rFonts w:hint="eastAsia"/>
          <w:b/>
          <w:sz w:val="24"/>
        </w:rPr>
        <w:t>2、设计依据</w:t>
      </w:r>
    </w:p>
    <w:p>
      <w:pPr>
        <w:numPr>
          <w:ilvl w:val="1"/>
          <w:numId w:val="68"/>
        </w:numPr>
        <w:tabs>
          <w:tab w:val="left" w:pos="2140"/>
        </w:tabs>
        <w:spacing w:before="163"/>
        <w:rPr>
          <w:sz w:val="24"/>
        </w:rPr>
      </w:pPr>
      <w:r>
        <w:rPr>
          <w:rFonts w:hint="eastAsia"/>
          <w:sz w:val="24"/>
        </w:rPr>
        <w:t>剧场建筑设计规范(JG57-2016)</w:t>
      </w:r>
    </w:p>
    <w:p>
      <w:pPr>
        <w:numPr>
          <w:ilvl w:val="1"/>
          <w:numId w:val="68"/>
        </w:numPr>
        <w:tabs>
          <w:tab w:val="left" w:pos="2140"/>
        </w:tabs>
        <w:spacing w:before="158"/>
        <w:rPr>
          <w:sz w:val="24"/>
        </w:rPr>
      </w:pPr>
      <w:r>
        <w:rPr>
          <w:rFonts w:hint="eastAsia"/>
          <w:sz w:val="24"/>
        </w:rPr>
        <w:t>舞台灯具通用技术条件(WH/T 41—2011)</w:t>
      </w:r>
    </w:p>
    <w:p>
      <w:pPr>
        <w:numPr>
          <w:ilvl w:val="1"/>
          <w:numId w:val="68"/>
        </w:numPr>
        <w:tabs>
          <w:tab w:val="left" w:pos="2140"/>
        </w:tabs>
        <w:spacing w:before="159"/>
        <w:rPr>
          <w:sz w:val="24"/>
        </w:rPr>
      </w:pPr>
      <w:r>
        <w:rPr>
          <w:rFonts w:hint="eastAsia"/>
          <w:spacing w:val="-8"/>
          <w:sz w:val="24"/>
        </w:rPr>
        <w:t xml:space="preserve">国际照明委员会 </w:t>
      </w:r>
      <w:r>
        <w:rPr>
          <w:rFonts w:hint="eastAsia"/>
          <w:sz w:val="24"/>
        </w:rPr>
        <w:t>CIE</w:t>
      </w:r>
      <w:r>
        <w:rPr>
          <w:rFonts w:hint="eastAsia"/>
          <w:spacing w:val="-9"/>
          <w:sz w:val="24"/>
        </w:rPr>
        <w:t xml:space="preserve"> 推荐照度标准</w:t>
      </w:r>
    </w:p>
    <w:p>
      <w:pPr>
        <w:numPr>
          <w:ilvl w:val="1"/>
          <w:numId w:val="68"/>
        </w:numPr>
        <w:tabs>
          <w:tab w:val="left" w:pos="2140"/>
        </w:tabs>
        <w:spacing w:before="156"/>
        <w:rPr>
          <w:sz w:val="24"/>
        </w:rPr>
      </w:pPr>
      <w:r>
        <w:rPr>
          <w:rFonts w:hint="eastAsia"/>
          <w:sz w:val="24"/>
        </w:rPr>
        <w:t>ESTA</w:t>
      </w:r>
      <w:r>
        <w:rPr>
          <w:rFonts w:hint="eastAsia"/>
          <w:spacing w:val="-8"/>
          <w:sz w:val="24"/>
        </w:rPr>
        <w:t xml:space="preserve"> 灯具光学性能测试标准草案</w:t>
      </w:r>
      <w:r>
        <w:rPr>
          <w:rFonts w:hint="eastAsia"/>
          <w:sz w:val="24"/>
        </w:rPr>
        <w:t>（2002）</w:t>
      </w:r>
    </w:p>
    <w:p>
      <w:pPr>
        <w:numPr>
          <w:ilvl w:val="1"/>
          <w:numId w:val="68"/>
        </w:numPr>
        <w:tabs>
          <w:tab w:val="left" w:pos="2140"/>
        </w:tabs>
        <w:spacing w:before="158"/>
        <w:rPr>
          <w:sz w:val="24"/>
        </w:rPr>
      </w:pPr>
      <w:r>
        <w:rPr>
          <w:rFonts w:hint="eastAsia"/>
          <w:sz w:val="24"/>
        </w:rPr>
        <w:t>《电视演播室灯光系统设计规范》(GY5045-2006)</w:t>
      </w:r>
    </w:p>
    <w:p>
      <w:pPr>
        <w:numPr>
          <w:ilvl w:val="1"/>
          <w:numId w:val="68"/>
        </w:numPr>
        <w:tabs>
          <w:tab w:val="left" w:pos="2140"/>
        </w:tabs>
        <w:spacing w:before="159"/>
        <w:rPr>
          <w:sz w:val="24"/>
        </w:rPr>
      </w:pPr>
      <w:r>
        <w:rPr>
          <w:rFonts w:hint="eastAsia"/>
          <w:sz w:val="24"/>
        </w:rPr>
        <w:t>电影电视舞台灯具通用技术条件(GB/T14076-1993)</w:t>
      </w:r>
    </w:p>
    <w:p>
      <w:pPr>
        <w:numPr>
          <w:ilvl w:val="1"/>
          <w:numId w:val="68"/>
        </w:numPr>
        <w:tabs>
          <w:tab w:val="left" w:pos="2140"/>
        </w:tabs>
        <w:spacing w:before="156"/>
        <w:rPr>
          <w:sz w:val="24"/>
        </w:rPr>
      </w:pPr>
      <w:r>
        <w:rPr>
          <w:rFonts w:hint="eastAsia"/>
          <w:sz w:val="24"/>
        </w:rPr>
        <w:t>《电气装置安装工程施工及验收规范》(GB50258-96)</w:t>
      </w:r>
    </w:p>
    <w:p>
      <w:pPr>
        <w:numPr>
          <w:ilvl w:val="1"/>
          <w:numId w:val="68"/>
        </w:numPr>
        <w:tabs>
          <w:tab w:val="left" w:pos="2140"/>
        </w:tabs>
        <w:spacing w:before="158"/>
        <w:rPr>
          <w:sz w:val="24"/>
        </w:rPr>
      </w:pPr>
      <w:r>
        <w:rPr>
          <w:rFonts w:hint="eastAsia"/>
          <w:sz w:val="24"/>
        </w:rPr>
        <w:t>《民用建筑照明设计标准》(GBJ133-90)</w:t>
      </w:r>
    </w:p>
    <w:p>
      <w:pPr>
        <w:numPr>
          <w:ilvl w:val="1"/>
          <w:numId w:val="68"/>
        </w:numPr>
        <w:tabs>
          <w:tab w:val="left" w:pos="2140"/>
        </w:tabs>
        <w:spacing w:before="156"/>
        <w:rPr>
          <w:sz w:val="24"/>
        </w:rPr>
      </w:pPr>
      <w:r>
        <w:fldChar w:fldCharType="begin"/>
      </w:r>
      <w:r>
        <w:instrText xml:space="preserve"> HYPERLINK "http://www.baidu.com/link?url=kCVRLW4FNMThFKSCsxeqyJLNRqQJrCphw_0b9qn1RdF_7thxRP_L4D2q4KwK-znTDuqhVmLSX3DZ4NDsBnzWl_" \h </w:instrText>
      </w:r>
      <w:r>
        <w:fldChar w:fldCharType="separate"/>
      </w:r>
      <w:r>
        <w:rPr>
          <w:rFonts w:hint="eastAsia"/>
          <w:sz w:val="24"/>
        </w:rPr>
        <w:t>《建筑照明设计标准》GB 50034-2013</w:t>
      </w:r>
      <w:r>
        <w:rPr>
          <w:rFonts w:hint="eastAsia"/>
          <w:sz w:val="24"/>
        </w:rPr>
        <w:fldChar w:fldCharType="end"/>
      </w:r>
    </w:p>
    <w:p>
      <w:pPr>
        <w:numPr>
          <w:ilvl w:val="1"/>
          <w:numId w:val="68"/>
        </w:numPr>
        <w:tabs>
          <w:tab w:val="left" w:pos="2140"/>
        </w:tabs>
        <w:spacing w:before="158"/>
        <w:rPr>
          <w:sz w:val="24"/>
        </w:rPr>
      </w:pPr>
      <w:r>
        <w:rPr>
          <w:rFonts w:hint="eastAsia"/>
          <w:sz w:val="24"/>
        </w:rPr>
        <w:t>《民用建筑电气设计规范》JGJ/T16-92</w:t>
      </w:r>
    </w:p>
    <w:p>
      <w:pPr>
        <w:numPr>
          <w:ilvl w:val="1"/>
          <w:numId w:val="68"/>
        </w:numPr>
        <w:tabs>
          <w:tab w:val="left" w:pos="2140"/>
        </w:tabs>
        <w:spacing w:before="156"/>
        <w:rPr>
          <w:sz w:val="24"/>
        </w:rPr>
      </w:pPr>
      <w:r>
        <w:rPr>
          <w:rFonts w:hint="eastAsia"/>
          <w:sz w:val="24"/>
        </w:rPr>
        <w:t>《低压配电设计规范》GB50054-95</w:t>
      </w:r>
    </w:p>
    <w:p>
      <w:pPr>
        <w:numPr>
          <w:ilvl w:val="1"/>
          <w:numId w:val="68"/>
        </w:numPr>
        <w:tabs>
          <w:tab w:val="left" w:pos="2140"/>
        </w:tabs>
        <w:spacing w:before="159"/>
        <w:rPr>
          <w:sz w:val="24"/>
        </w:rPr>
      </w:pPr>
      <w:r>
        <w:rPr>
          <w:rFonts w:hint="eastAsia"/>
          <w:sz w:val="24"/>
        </w:rPr>
        <w:t>《电子调光通用技术条件》(GB/T13582-92)</w:t>
      </w:r>
    </w:p>
    <w:p>
      <w:pPr>
        <w:numPr>
          <w:ilvl w:val="1"/>
          <w:numId w:val="68"/>
        </w:numPr>
        <w:tabs>
          <w:tab w:val="left" w:pos="2140"/>
        </w:tabs>
        <w:spacing w:before="158"/>
        <w:rPr>
          <w:sz w:val="24"/>
        </w:rPr>
      </w:pPr>
      <w:r>
        <w:rPr>
          <w:rFonts w:hint="eastAsia"/>
          <w:sz w:val="24"/>
        </w:rPr>
        <w:t>《电子调光设备性能参数与测试方法》(GB/T14218-2018)</w:t>
      </w:r>
    </w:p>
    <w:p>
      <w:pPr>
        <w:numPr>
          <w:ilvl w:val="1"/>
          <w:numId w:val="68"/>
        </w:numPr>
        <w:tabs>
          <w:tab w:val="left" w:pos="2140"/>
        </w:tabs>
        <w:spacing w:before="156"/>
        <w:rPr>
          <w:sz w:val="24"/>
        </w:rPr>
      </w:pPr>
      <w:r>
        <w:rPr>
          <w:rFonts w:hint="eastAsia"/>
          <w:sz w:val="24"/>
        </w:rPr>
        <w:t>《电子调光设备无线电骚扰特性限值及测量方法》(GB15734-1995)</w:t>
      </w:r>
    </w:p>
    <w:p>
      <w:pPr>
        <w:numPr>
          <w:ilvl w:val="1"/>
          <w:numId w:val="68"/>
        </w:numPr>
        <w:tabs>
          <w:tab w:val="left" w:pos="2140"/>
        </w:tabs>
        <w:spacing w:before="159"/>
        <w:rPr>
          <w:sz w:val="24"/>
        </w:rPr>
      </w:pPr>
      <w:r>
        <w:rPr>
          <w:rFonts w:hint="eastAsia"/>
          <w:sz w:val="24"/>
        </w:rPr>
        <w:t>USITT DMX512（1990）通讯协议</w:t>
      </w:r>
    </w:p>
    <w:p>
      <w:pPr>
        <w:rPr>
          <w:sz w:val="24"/>
        </w:rPr>
        <w:sectPr>
          <w:footerReference r:id="rId8" w:type="default"/>
          <w:pgSz w:w="11910" w:h="16840"/>
          <w:pgMar w:top="1380" w:right="920" w:bottom="1120" w:left="920" w:header="0" w:footer="847" w:gutter="0"/>
          <w:cols w:space="720" w:num="1"/>
        </w:sectPr>
      </w:pPr>
    </w:p>
    <w:p>
      <w:pPr>
        <w:pStyle w:val="5"/>
      </w:pPr>
      <w:bookmarkStart w:id="78" w:name="三、广州市杂技团舞台系统改造系统预算汇总表"/>
      <w:bookmarkEnd w:id="78"/>
      <w:bookmarkStart w:id="79" w:name="_bookmark2"/>
      <w:bookmarkEnd w:id="79"/>
      <w:r>
        <w:rPr>
          <w:rFonts w:hint="eastAsia"/>
        </w:rPr>
        <w:t>2.3、广州市杂技团舞台系统改造系统预算汇总表</w:t>
      </w:r>
    </w:p>
    <w:p>
      <w:pPr>
        <w:rPr>
          <w:b/>
          <w:sz w:val="20"/>
          <w:szCs w:val="24"/>
        </w:rPr>
      </w:pPr>
    </w:p>
    <w:p>
      <w:pPr>
        <w:rPr>
          <w:b/>
          <w:sz w:val="20"/>
          <w:szCs w:val="24"/>
        </w:rPr>
      </w:pPr>
    </w:p>
    <w:p>
      <w:pPr>
        <w:spacing w:before="10"/>
        <w:rPr>
          <w:b/>
          <w:sz w:val="10"/>
          <w:szCs w:val="24"/>
        </w:rPr>
      </w:pPr>
    </w:p>
    <w:tbl>
      <w:tblPr>
        <w:tblStyle w:val="19"/>
        <w:tblW w:w="0" w:type="auto"/>
        <w:tblInd w:w="8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00"/>
        <w:gridCol w:w="1080"/>
        <w:gridCol w:w="1080"/>
        <w:gridCol w:w="150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555" w:type="dxa"/>
          </w:tcPr>
          <w:p>
            <w:pPr>
              <w:pStyle w:val="23"/>
              <w:spacing w:before="9"/>
              <w:rPr>
                <w:b/>
                <w:sz w:val="25"/>
              </w:rPr>
            </w:pPr>
          </w:p>
          <w:p>
            <w:pPr>
              <w:pStyle w:val="23"/>
              <w:ind w:left="55" w:right="48"/>
              <w:jc w:val="center"/>
              <w:rPr>
                <w:sz w:val="20"/>
              </w:rPr>
            </w:pPr>
            <w:r>
              <w:rPr>
                <w:rFonts w:hint="eastAsia"/>
                <w:sz w:val="20"/>
              </w:rPr>
              <w:t>序号</w:t>
            </w:r>
          </w:p>
        </w:tc>
        <w:tc>
          <w:tcPr>
            <w:tcW w:w="2400" w:type="dxa"/>
          </w:tcPr>
          <w:p>
            <w:pPr>
              <w:pStyle w:val="23"/>
              <w:spacing w:before="9"/>
              <w:rPr>
                <w:b/>
                <w:sz w:val="25"/>
              </w:rPr>
            </w:pPr>
          </w:p>
          <w:p>
            <w:pPr>
              <w:pStyle w:val="23"/>
              <w:ind w:left="216" w:right="210"/>
              <w:jc w:val="center"/>
              <w:rPr>
                <w:sz w:val="20"/>
              </w:rPr>
            </w:pPr>
            <w:r>
              <w:rPr>
                <w:rFonts w:hint="eastAsia"/>
                <w:sz w:val="20"/>
              </w:rPr>
              <w:t>项目名称</w:t>
            </w:r>
          </w:p>
        </w:tc>
        <w:tc>
          <w:tcPr>
            <w:tcW w:w="1080" w:type="dxa"/>
          </w:tcPr>
          <w:p>
            <w:pPr>
              <w:pStyle w:val="23"/>
              <w:spacing w:before="9"/>
              <w:rPr>
                <w:b/>
                <w:sz w:val="25"/>
              </w:rPr>
            </w:pPr>
          </w:p>
          <w:p>
            <w:pPr>
              <w:pStyle w:val="23"/>
              <w:ind w:left="319" w:right="311"/>
              <w:jc w:val="center"/>
              <w:rPr>
                <w:sz w:val="20"/>
              </w:rPr>
            </w:pPr>
            <w:r>
              <w:rPr>
                <w:rFonts w:hint="eastAsia"/>
                <w:sz w:val="20"/>
              </w:rPr>
              <w:t>数量</w:t>
            </w:r>
          </w:p>
        </w:tc>
        <w:tc>
          <w:tcPr>
            <w:tcW w:w="1080" w:type="dxa"/>
          </w:tcPr>
          <w:p>
            <w:pPr>
              <w:pStyle w:val="23"/>
              <w:spacing w:before="9"/>
              <w:rPr>
                <w:b/>
                <w:sz w:val="25"/>
              </w:rPr>
            </w:pPr>
          </w:p>
          <w:p>
            <w:pPr>
              <w:pStyle w:val="23"/>
              <w:ind w:left="319" w:right="311"/>
              <w:jc w:val="center"/>
              <w:rPr>
                <w:sz w:val="20"/>
              </w:rPr>
            </w:pPr>
            <w:r>
              <w:rPr>
                <w:rFonts w:hint="eastAsia"/>
                <w:sz w:val="20"/>
              </w:rPr>
              <w:t>单位</w:t>
            </w:r>
          </w:p>
        </w:tc>
        <w:tc>
          <w:tcPr>
            <w:tcW w:w="1500" w:type="dxa"/>
          </w:tcPr>
          <w:p>
            <w:pPr>
              <w:pStyle w:val="23"/>
              <w:spacing w:before="9"/>
              <w:rPr>
                <w:b/>
                <w:sz w:val="25"/>
              </w:rPr>
            </w:pPr>
          </w:p>
          <w:p>
            <w:pPr>
              <w:pStyle w:val="23"/>
              <w:ind w:left="228" w:right="222"/>
              <w:jc w:val="center"/>
              <w:rPr>
                <w:sz w:val="20"/>
              </w:rPr>
            </w:pPr>
            <w:r>
              <w:rPr>
                <w:rFonts w:hint="eastAsia"/>
                <w:sz w:val="20"/>
              </w:rPr>
              <w:t>单价（元）</w:t>
            </w:r>
          </w:p>
        </w:tc>
        <w:tc>
          <w:tcPr>
            <w:tcW w:w="1500" w:type="dxa"/>
          </w:tcPr>
          <w:p>
            <w:pPr>
              <w:pStyle w:val="23"/>
              <w:spacing w:before="9"/>
              <w:rPr>
                <w:b/>
                <w:sz w:val="25"/>
              </w:rPr>
            </w:pPr>
          </w:p>
          <w:p>
            <w:pPr>
              <w:pStyle w:val="23"/>
              <w:ind w:left="228" w:right="222"/>
              <w:jc w:val="center"/>
              <w:rPr>
                <w:sz w:val="20"/>
              </w:rPr>
            </w:pPr>
            <w:r>
              <w:rPr>
                <w:rFonts w:hint="eastAsia"/>
                <w:sz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55" w:type="dxa"/>
          </w:tcPr>
          <w:p>
            <w:pPr>
              <w:pStyle w:val="23"/>
              <w:spacing w:before="11"/>
              <w:rPr>
                <w:b/>
                <w:sz w:val="18"/>
              </w:rPr>
            </w:pPr>
          </w:p>
          <w:p>
            <w:pPr>
              <w:pStyle w:val="23"/>
              <w:ind w:left="7"/>
              <w:jc w:val="center"/>
              <w:rPr>
                <w:sz w:val="24"/>
              </w:rPr>
            </w:pPr>
            <w:r>
              <w:rPr>
                <w:rFonts w:hint="eastAsia"/>
                <w:sz w:val="24"/>
              </w:rPr>
              <w:t>1</w:t>
            </w:r>
          </w:p>
        </w:tc>
        <w:tc>
          <w:tcPr>
            <w:tcW w:w="2400" w:type="dxa"/>
          </w:tcPr>
          <w:p>
            <w:pPr>
              <w:pStyle w:val="23"/>
              <w:spacing w:before="11"/>
              <w:rPr>
                <w:b/>
                <w:sz w:val="18"/>
              </w:rPr>
            </w:pPr>
          </w:p>
          <w:p>
            <w:pPr>
              <w:pStyle w:val="23"/>
              <w:ind w:left="219" w:right="210"/>
              <w:jc w:val="center"/>
              <w:rPr>
                <w:sz w:val="24"/>
              </w:rPr>
            </w:pPr>
            <w:r>
              <w:rPr>
                <w:rFonts w:hint="eastAsia"/>
                <w:sz w:val="24"/>
              </w:rPr>
              <w:t>舞台机械系统改造</w:t>
            </w:r>
          </w:p>
        </w:tc>
        <w:tc>
          <w:tcPr>
            <w:tcW w:w="1080" w:type="dxa"/>
          </w:tcPr>
          <w:p>
            <w:pPr>
              <w:pStyle w:val="23"/>
              <w:spacing w:before="11"/>
              <w:rPr>
                <w:b/>
                <w:sz w:val="18"/>
              </w:rPr>
            </w:pPr>
          </w:p>
          <w:p>
            <w:pPr>
              <w:pStyle w:val="23"/>
              <w:ind w:left="9"/>
              <w:jc w:val="center"/>
              <w:rPr>
                <w:sz w:val="24"/>
              </w:rPr>
            </w:pPr>
            <w:r>
              <w:rPr>
                <w:rFonts w:hint="eastAsia"/>
                <w:sz w:val="24"/>
              </w:rPr>
              <w:t>1</w:t>
            </w:r>
          </w:p>
        </w:tc>
        <w:tc>
          <w:tcPr>
            <w:tcW w:w="1080" w:type="dxa"/>
          </w:tcPr>
          <w:p>
            <w:pPr>
              <w:pStyle w:val="23"/>
              <w:spacing w:before="11"/>
              <w:rPr>
                <w:b/>
                <w:sz w:val="18"/>
              </w:rPr>
            </w:pPr>
          </w:p>
          <w:p>
            <w:pPr>
              <w:pStyle w:val="23"/>
              <w:ind w:left="9"/>
              <w:jc w:val="center"/>
              <w:rPr>
                <w:sz w:val="24"/>
              </w:rPr>
            </w:pPr>
            <w:r>
              <w:rPr>
                <w:rFonts w:hint="eastAsia"/>
                <w:sz w:val="24"/>
              </w:rPr>
              <w:t>项</w:t>
            </w:r>
          </w:p>
        </w:tc>
        <w:tc>
          <w:tcPr>
            <w:tcW w:w="1500" w:type="dxa"/>
          </w:tcPr>
          <w:p>
            <w:pPr>
              <w:pStyle w:val="23"/>
              <w:spacing w:before="11"/>
              <w:rPr>
                <w:b/>
                <w:sz w:val="18"/>
              </w:rPr>
            </w:pPr>
          </w:p>
          <w:p>
            <w:pPr>
              <w:pStyle w:val="23"/>
              <w:ind w:left="228" w:right="217"/>
              <w:jc w:val="center"/>
              <w:rPr>
                <w:sz w:val="24"/>
              </w:rPr>
            </w:pPr>
            <w:r>
              <w:rPr>
                <w:rFonts w:hint="eastAsia"/>
                <w:sz w:val="24"/>
              </w:rPr>
              <w:t>1880000</w:t>
            </w:r>
          </w:p>
        </w:tc>
        <w:tc>
          <w:tcPr>
            <w:tcW w:w="1500" w:type="dxa"/>
          </w:tcPr>
          <w:p>
            <w:pPr>
              <w:pStyle w:val="23"/>
              <w:spacing w:before="11"/>
              <w:rPr>
                <w:b/>
                <w:sz w:val="18"/>
              </w:rPr>
            </w:pPr>
          </w:p>
          <w:p>
            <w:pPr>
              <w:pStyle w:val="23"/>
              <w:ind w:left="228" w:right="217"/>
              <w:jc w:val="center"/>
              <w:rPr>
                <w:sz w:val="24"/>
              </w:rPr>
            </w:pPr>
            <w:r>
              <w:rPr>
                <w:rFonts w:hint="eastAsia"/>
                <w:sz w:val="24"/>
              </w:rPr>
              <w:t>1880000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55" w:type="dxa"/>
          </w:tcPr>
          <w:p>
            <w:pPr>
              <w:pStyle w:val="23"/>
              <w:spacing w:before="10"/>
              <w:rPr>
                <w:b/>
                <w:sz w:val="19"/>
              </w:rPr>
            </w:pPr>
          </w:p>
          <w:p>
            <w:pPr>
              <w:pStyle w:val="23"/>
              <w:ind w:left="7"/>
              <w:jc w:val="center"/>
              <w:rPr>
                <w:sz w:val="24"/>
              </w:rPr>
            </w:pPr>
            <w:r>
              <w:rPr>
                <w:rFonts w:hint="eastAsia"/>
                <w:sz w:val="24"/>
              </w:rPr>
              <w:t>2</w:t>
            </w:r>
          </w:p>
        </w:tc>
        <w:tc>
          <w:tcPr>
            <w:tcW w:w="2400" w:type="dxa"/>
          </w:tcPr>
          <w:p>
            <w:pPr>
              <w:pStyle w:val="23"/>
              <w:spacing w:before="10"/>
              <w:rPr>
                <w:b/>
                <w:sz w:val="19"/>
              </w:rPr>
            </w:pPr>
          </w:p>
          <w:p>
            <w:pPr>
              <w:pStyle w:val="23"/>
              <w:ind w:left="219" w:right="210"/>
              <w:jc w:val="center"/>
              <w:rPr>
                <w:sz w:val="24"/>
              </w:rPr>
            </w:pPr>
            <w:r>
              <w:rPr>
                <w:rFonts w:hint="eastAsia"/>
                <w:sz w:val="24"/>
              </w:rPr>
              <w:t>舞台灯光系统</w:t>
            </w:r>
          </w:p>
        </w:tc>
        <w:tc>
          <w:tcPr>
            <w:tcW w:w="1080" w:type="dxa"/>
          </w:tcPr>
          <w:p>
            <w:pPr>
              <w:pStyle w:val="23"/>
              <w:spacing w:before="10"/>
              <w:rPr>
                <w:b/>
                <w:sz w:val="19"/>
              </w:rPr>
            </w:pPr>
          </w:p>
          <w:p>
            <w:pPr>
              <w:pStyle w:val="23"/>
              <w:ind w:left="9"/>
              <w:jc w:val="center"/>
              <w:rPr>
                <w:sz w:val="24"/>
              </w:rPr>
            </w:pPr>
            <w:r>
              <w:rPr>
                <w:rFonts w:hint="eastAsia"/>
                <w:sz w:val="24"/>
              </w:rPr>
              <w:t>1</w:t>
            </w:r>
          </w:p>
        </w:tc>
        <w:tc>
          <w:tcPr>
            <w:tcW w:w="1080" w:type="dxa"/>
          </w:tcPr>
          <w:p>
            <w:pPr>
              <w:pStyle w:val="23"/>
              <w:spacing w:before="10"/>
              <w:rPr>
                <w:b/>
                <w:sz w:val="19"/>
              </w:rPr>
            </w:pPr>
          </w:p>
          <w:p>
            <w:pPr>
              <w:pStyle w:val="23"/>
              <w:ind w:left="9"/>
              <w:jc w:val="center"/>
              <w:rPr>
                <w:sz w:val="24"/>
              </w:rPr>
            </w:pPr>
            <w:r>
              <w:rPr>
                <w:rFonts w:hint="eastAsia"/>
                <w:sz w:val="24"/>
              </w:rPr>
              <w:t>项</w:t>
            </w:r>
          </w:p>
        </w:tc>
        <w:tc>
          <w:tcPr>
            <w:tcW w:w="1500" w:type="dxa"/>
          </w:tcPr>
          <w:p>
            <w:pPr>
              <w:pStyle w:val="23"/>
              <w:spacing w:before="10"/>
              <w:rPr>
                <w:b/>
                <w:sz w:val="19"/>
              </w:rPr>
            </w:pPr>
          </w:p>
          <w:p>
            <w:pPr>
              <w:pStyle w:val="23"/>
              <w:ind w:left="228" w:right="217"/>
              <w:jc w:val="center"/>
              <w:rPr>
                <w:sz w:val="24"/>
              </w:rPr>
            </w:pPr>
            <w:r>
              <w:rPr>
                <w:rFonts w:hint="eastAsia"/>
                <w:sz w:val="24"/>
              </w:rPr>
              <w:t>120000</w:t>
            </w:r>
          </w:p>
        </w:tc>
        <w:tc>
          <w:tcPr>
            <w:tcW w:w="1500" w:type="dxa"/>
          </w:tcPr>
          <w:p>
            <w:pPr>
              <w:pStyle w:val="23"/>
              <w:spacing w:before="10"/>
              <w:rPr>
                <w:b/>
                <w:sz w:val="19"/>
              </w:rPr>
            </w:pPr>
          </w:p>
          <w:p>
            <w:pPr>
              <w:pStyle w:val="23"/>
              <w:ind w:left="228" w:right="217"/>
              <w:jc w:val="center"/>
              <w:rPr>
                <w:sz w:val="24"/>
              </w:rPr>
            </w:pPr>
            <w:r>
              <w:rPr>
                <w:rFonts w:hint="eastAsia"/>
                <w:sz w:val="24"/>
              </w:rPr>
              <w:t>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555" w:type="dxa"/>
          </w:tcPr>
          <w:p>
            <w:pPr>
              <w:pStyle w:val="23"/>
            </w:pPr>
          </w:p>
        </w:tc>
        <w:tc>
          <w:tcPr>
            <w:tcW w:w="6060" w:type="dxa"/>
            <w:gridSpan w:val="4"/>
          </w:tcPr>
          <w:p>
            <w:pPr>
              <w:pStyle w:val="23"/>
              <w:spacing w:before="10"/>
              <w:rPr>
                <w:b/>
                <w:sz w:val="25"/>
              </w:rPr>
            </w:pPr>
          </w:p>
          <w:p>
            <w:pPr>
              <w:pStyle w:val="23"/>
              <w:ind w:left="2650" w:right="2639"/>
              <w:jc w:val="center"/>
              <w:rPr>
                <w:sz w:val="24"/>
              </w:rPr>
            </w:pPr>
            <w:r>
              <w:rPr>
                <w:rFonts w:hint="eastAsia"/>
                <w:sz w:val="24"/>
              </w:rPr>
              <w:t>合计：</w:t>
            </w:r>
          </w:p>
        </w:tc>
        <w:tc>
          <w:tcPr>
            <w:tcW w:w="1500" w:type="dxa"/>
          </w:tcPr>
          <w:p>
            <w:pPr>
              <w:pStyle w:val="23"/>
              <w:spacing w:before="10"/>
              <w:rPr>
                <w:b/>
                <w:sz w:val="25"/>
              </w:rPr>
            </w:pPr>
          </w:p>
          <w:p>
            <w:pPr>
              <w:pStyle w:val="23"/>
              <w:ind w:left="228" w:right="217"/>
              <w:jc w:val="center"/>
              <w:rPr>
                <w:sz w:val="24"/>
              </w:rPr>
            </w:pPr>
            <w:r>
              <w:rPr>
                <w:rFonts w:hint="eastAsia"/>
                <w:sz w:val="24"/>
              </w:rPr>
              <w:t>2000000</w:t>
            </w:r>
          </w:p>
        </w:tc>
      </w:tr>
    </w:tbl>
    <w:p>
      <w:pPr>
        <w:jc w:val="center"/>
        <w:rPr>
          <w:sz w:val="24"/>
        </w:rPr>
        <w:sectPr>
          <w:pgSz w:w="11910" w:h="16840"/>
          <w:pgMar w:top="1380" w:right="920" w:bottom="1120" w:left="920" w:header="0" w:footer="847" w:gutter="0"/>
          <w:cols w:space="720" w:num="1"/>
        </w:sectPr>
      </w:pPr>
    </w:p>
    <w:p>
      <w:pPr>
        <w:pStyle w:val="5"/>
        <w:ind w:left="0"/>
        <w:jc w:val="center"/>
      </w:pPr>
      <w:bookmarkStart w:id="80" w:name="3.1、舞台机械系统改造设备清单"/>
      <w:bookmarkEnd w:id="80"/>
      <w:bookmarkStart w:id="81" w:name="_bookmark3"/>
      <w:bookmarkEnd w:id="81"/>
      <w:r>
        <w:rPr>
          <w:rFonts w:hint="eastAsia"/>
          <w:spacing w:val="-2"/>
          <w:w w:val="99"/>
          <w:sz w:val="26"/>
          <w:szCs w:val="26"/>
          <w:highlight w:val="lightGray"/>
        </w:rPr>
        <w:t>2</w:t>
      </w:r>
      <w:r>
        <w:rPr>
          <w:rFonts w:hint="eastAsia"/>
          <w:spacing w:val="-2"/>
          <w:w w:val="99"/>
          <w:sz w:val="26"/>
          <w:szCs w:val="26"/>
        </w:rPr>
        <w:t>.3</w:t>
      </w:r>
      <w:r>
        <w:rPr>
          <w:spacing w:val="-2"/>
          <w:w w:val="99"/>
          <w:sz w:val="26"/>
          <w:szCs w:val="26"/>
        </w:rPr>
        <w:t>.1</w:t>
      </w:r>
      <w:r>
        <w:rPr>
          <w:rFonts w:hint="eastAsia"/>
        </w:rPr>
        <w:t>、舞台机械系统改造设备清单</w:t>
      </w:r>
    </w:p>
    <w:p>
      <w:pPr>
        <w:spacing w:before="4" w:after="1"/>
        <w:rPr>
          <w:b/>
          <w:sz w:val="14"/>
          <w:szCs w:val="24"/>
        </w:rPr>
      </w:pPr>
    </w:p>
    <w:tbl>
      <w:tblPr>
        <w:tblStyle w:val="1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2539"/>
        <w:gridCol w:w="5490"/>
        <w:gridCol w:w="645"/>
        <w:gridCol w:w="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96" w:type="dxa"/>
          </w:tcPr>
          <w:p>
            <w:pPr>
              <w:pStyle w:val="23"/>
              <w:spacing w:before="21"/>
              <w:ind w:left="71" w:right="64"/>
              <w:jc w:val="center"/>
              <w:rPr>
                <w:sz w:val="20"/>
              </w:rPr>
            </w:pPr>
            <w:r>
              <w:rPr>
                <w:rFonts w:hint="eastAsia"/>
                <w:sz w:val="20"/>
              </w:rPr>
              <w:t>序号</w:t>
            </w:r>
          </w:p>
        </w:tc>
        <w:tc>
          <w:tcPr>
            <w:tcW w:w="2539" w:type="dxa"/>
          </w:tcPr>
          <w:p>
            <w:pPr>
              <w:pStyle w:val="23"/>
              <w:spacing w:before="21"/>
              <w:ind w:left="1053" w:right="1046"/>
              <w:jc w:val="center"/>
              <w:rPr>
                <w:sz w:val="20"/>
              </w:rPr>
            </w:pPr>
            <w:r>
              <w:rPr>
                <w:rFonts w:hint="eastAsia"/>
                <w:sz w:val="20"/>
              </w:rPr>
              <w:t>名称</w:t>
            </w:r>
          </w:p>
        </w:tc>
        <w:tc>
          <w:tcPr>
            <w:tcW w:w="5490" w:type="dxa"/>
          </w:tcPr>
          <w:p>
            <w:pPr>
              <w:pStyle w:val="23"/>
              <w:spacing w:before="21"/>
              <w:ind w:left="2324" w:right="2315"/>
              <w:jc w:val="center"/>
              <w:rPr>
                <w:sz w:val="20"/>
              </w:rPr>
            </w:pPr>
            <w:r>
              <w:rPr>
                <w:rFonts w:hint="eastAsia"/>
                <w:sz w:val="20"/>
              </w:rPr>
              <w:t>技术参数</w:t>
            </w:r>
          </w:p>
        </w:tc>
        <w:tc>
          <w:tcPr>
            <w:tcW w:w="645" w:type="dxa"/>
          </w:tcPr>
          <w:p>
            <w:pPr>
              <w:pStyle w:val="23"/>
              <w:spacing w:before="21"/>
              <w:ind w:left="100" w:right="94"/>
              <w:jc w:val="center"/>
              <w:rPr>
                <w:sz w:val="20"/>
              </w:rPr>
            </w:pPr>
            <w:r>
              <w:rPr>
                <w:rFonts w:hint="eastAsia"/>
                <w:sz w:val="20"/>
              </w:rPr>
              <w:t>数量</w:t>
            </w:r>
          </w:p>
        </w:tc>
        <w:tc>
          <w:tcPr>
            <w:tcW w:w="570" w:type="dxa"/>
          </w:tcPr>
          <w:p>
            <w:pPr>
              <w:pStyle w:val="23"/>
              <w:spacing w:before="21"/>
              <w:ind w:left="63" w:right="57"/>
              <w:jc w:val="center"/>
              <w:rPr>
                <w:sz w:val="20"/>
              </w:rPr>
            </w:pPr>
            <w:r>
              <w:rPr>
                <w:rFonts w:hint="eastAsia"/>
                <w:sz w:val="20"/>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96" w:type="dxa"/>
            <w:shd w:val="clear" w:color="auto" w:fill="FFFF00"/>
          </w:tcPr>
          <w:p>
            <w:pPr>
              <w:pStyle w:val="23"/>
              <w:rPr>
                <w:sz w:val="20"/>
              </w:rPr>
            </w:pPr>
          </w:p>
        </w:tc>
        <w:tc>
          <w:tcPr>
            <w:tcW w:w="2539" w:type="dxa"/>
            <w:shd w:val="clear" w:color="auto" w:fill="FFFF00"/>
          </w:tcPr>
          <w:p>
            <w:pPr>
              <w:pStyle w:val="23"/>
              <w:spacing w:before="20"/>
              <w:ind w:left="524"/>
              <w:rPr>
                <w:b/>
                <w:sz w:val="20"/>
              </w:rPr>
            </w:pPr>
            <w:r>
              <w:rPr>
                <w:rFonts w:hint="eastAsia"/>
                <w:b/>
                <w:sz w:val="20"/>
              </w:rPr>
              <w:t>1、台上机械系统</w:t>
            </w:r>
          </w:p>
        </w:tc>
        <w:tc>
          <w:tcPr>
            <w:tcW w:w="5490" w:type="dxa"/>
            <w:shd w:val="clear" w:color="auto" w:fill="FFFF00"/>
          </w:tcPr>
          <w:p>
            <w:pPr>
              <w:pStyle w:val="23"/>
              <w:rPr>
                <w:sz w:val="20"/>
              </w:rPr>
            </w:pPr>
          </w:p>
        </w:tc>
        <w:tc>
          <w:tcPr>
            <w:tcW w:w="645" w:type="dxa"/>
            <w:shd w:val="clear" w:color="auto" w:fill="FFFF00"/>
          </w:tcPr>
          <w:p>
            <w:pPr>
              <w:pStyle w:val="23"/>
              <w:rPr>
                <w:sz w:val="20"/>
              </w:rPr>
            </w:pPr>
          </w:p>
        </w:tc>
        <w:tc>
          <w:tcPr>
            <w:tcW w:w="570" w:type="dxa"/>
            <w:shd w:val="clear" w:color="auto" w:fill="FFFF00"/>
          </w:tcPr>
          <w:p>
            <w:pPr>
              <w:pStyle w:val="23"/>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9" w:hRule="atLeast"/>
        </w:trPr>
        <w:tc>
          <w:tcPr>
            <w:tcW w:w="596" w:type="dxa"/>
            <w:vAlign w:val="center"/>
          </w:tcPr>
          <w:p>
            <w:pPr>
              <w:pStyle w:val="23"/>
              <w:ind w:right="62"/>
              <w:jc w:val="center"/>
              <w:rPr>
                <w:sz w:val="20"/>
              </w:rPr>
            </w:pPr>
            <w:r>
              <w:rPr>
                <w:rFonts w:hint="eastAsia"/>
                <w:sz w:val="20"/>
              </w:rPr>
              <w:t>1.1</w:t>
            </w:r>
          </w:p>
        </w:tc>
        <w:tc>
          <w:tcPr>
            <w:tcW w:w="2539" w:type="dxa"/>
            <w:vAlign w:val="center"/>
          </w:tcPr>
          <w:p>
            <w:pPr>
              <w:pStyle w:val="23"/>
              <w:jc w:val="center"/>
              <w:rPr>
                <w:sz w:val="20"/>
              </w:rPr>
            </w:pPr>
            <w:r>
              <w:rPr>
                <w:rFonts w:hint="eastAsia"/>
                <w:sz w:val="20"/>
              </w:rPr>
              <w:t>电动灯光吊杆</w:t>
            </w:r>
          </w:p>
        </w:tc>
        <w:tc>
          <w:tcPr>
            <w:tcW w:w="5490" w:type="dxa"/>
          </w:tcPr>
          <w:p>
            <w:pPr>
              <w:pStyle w:val="23"/>
              <w:spacing w:before="10" w:line="242" w:lineRule="auto"/>
              <w:ind w:left="10" w:right="2268"/>
              <w:rPr>
                <w:sz w:val="20"/>
              </w:rPr>
            </w:pPr>
            <w:r>
              <w:rPr>
                <w:rFonts w:hint="eastAsia"/>
                <w:sz w:val="20"/>
              </w:rPr>
              <w:t>单层绕卷卷筒驱动机，高效节能系列吊点：4-6 个</w:t>
            </w:r>
          </w:p>
          <w:p>
            <w:pPr>
              <w:pStyle w:val="23"/>
              <w:spacing w:before="1" w:line="242" w:lineRule="auto"/>
              <w:ind w:left="10" w:right="4168"/>
              <w:rPr>
                <w:sz w:val="20"/>
              </w:rPr>
            </w:pPr>
            <w:r>
              <w:rPr>
                <w:rFonts w:hint="eastAsia"/>
                <w:w w:val="95"/>
                <w:sz w:val="20"/>
              </w:rPr>
              <w:t xml:space="preserve">速度：0.15m/s </w:t>
            </w:r>
            <w:r>
              <w:rPr>
                <w:rFonts w:hint="eastAsia"/>
                <w:sz w:val="20"/>
              </w:rPr>
              <w:t>载荷：6.0kN 行程：16m</w:t>
            </w:r>
          </w:p>
          <w:p>
            <w:pPr>
              <w:pStyle w:val="23"/>
              <w:spacing w:before="1"/>
              <w:ind w:left="10"/>
              <w:rPr>
                <w:sz w:val="20"/>
              </w:rPr>
            </w:pPr>
            <w:r>
              <w:rPr>
                <w:rFonts w:hint="eastAsia"/>
                <w:sz w:val="20"/>
              </w:rPr>
              <w:t>噪 音：&lt;50dB(A)</w:t>
            </w:r>
          </w:p>
          <w:p>
            <w:pPr>
              <w:pStyle w:val="23"/>
              <w:spacing w:before="5" w:line="242" w:lineRule="auto"/>
              <w:ind w:left="10" w:right="3467"/>
              <w:rPr>
                <w:sz w:val="20"/>
              </w:rPr>
            </w:pPr>
            <w:r>
              <w:rPr>
                <w:rFonts w:hint="eastAsia"/>
                <w:sz w:val="20"/>
              </w:rPr>
              <w:t>钢丝绳安全系数：≥10 电机：交流异步电动机</w:t>
            </w:r>
          </w:p>
          <w:p>
            <w:pPr>
              <w:pStyle w:val="23"/>
              <w:spacing w:before="1" w:line="242" w:lineRule="auto"/>
              <w:ind w:left="10" w:right="68"/>
              <w:rPr>
                <w:sz w:val="20"/>
              </w:rPr>
            </w:pPr>
            <w:r>
              <w:rPr>
                <w:rFonts w:hint="eastAsia"/>
                <w:w w:val="95"/>
                <w:sz w:val="20"/>
              </w:rPr>
              <w:t xml:space="preserve">制动器：低噪音故障保护型安全制动器，使用两个独立的制动 </w:t>
            </w:r>
            <w:r>
              <w:rPr>
                <w:rFonts w:hint="eastAsia"/>
                <w:sz w:val="20"/>
              </w:rPr>
              <w:t>器，并设有手动释放装置</w:t>
            </w:r>
          </w:p>
          <w:p>
            <w:pPr>
              <w:pStyle w:val="23"/>
              <w:spacing w:before="1"/>
              <w:ind w:left="10"/>
              <w:rPr>
                <w:sz w:val="20"/>
              </w:rPr>
            </w:pPr>
            <w:r>
              <w:rPr>
                <w:rFonts w:hint="eastAsia"/>
                <w:sz w:val="20"/>
              </w:rPr>
              <w:t>减速机：斜齿轮减速机</w:t>
            </w:r>
          </w:p>
          <w:p>
            <w:pPr>
              <w:pStyle w:val="23"/>
              <w:spacing w:before="3" w:line="242" w:lineRule="auto"/>
              <w:ind w:left="10" w:right="1566"/>
              <w:rPr>
                <w:sz w:val="20"/>
              </w:rPr>
            </w:pPr>
            <w:r>
              <w:rPr>
                <w:rFonts w:hint="eastAsia"/>
                <w:w w:val="95"/>
                <w:sz w:val="20"/>
              </w:rPr>
              <w:t xml:space="preserve">安全及检测装置：位置检测，定位精度±5mm </w:t>
            </w:r>
            <w:r>
              <w:rPr>
                <w:rFonts w:hint="eastAsia"/>
                <w:sz w:val="20"/>
              </w:rPr>
              <w:t>防护等级：≥IP54</w:t>
            </w:r>
          </w:p>
          <w:p>
            <w:pPr>
              <w:pStyle w:val="23"/>
              <w:ind w:left="10"/>
              <w:rPr>
                <w:sz w:val="20"/>
              </w:rPr>
            </w:pPr>
            <w:r>
              <w:rPr>
                <w:rFonts w:hint="eastAsia"/>
                <w:sz w:val="20"/>
              </w:rPr>
              <w:t>绝缘等级：F 级</w:t>
            </w:r>
          </w:p>
          <w:p>
            <w:pPr>
              <w:pStyle w:val="23"/>
              <w:spacing w:before="3" w:line="242" w:lineRule="auto"/>
              <w:ind w:left="10" w:right="68"/>
              <w:rPr>
                <w:sz w:val="20"/>
              </w:rPr>
            </w:pPr>
            <w:r>
              <w:rPr>
                <w:rFonts w:hint="eastAsia"/>
                <w:w w:val="95"/>
                <w:sz w:val="20"/>
              </w:rPr>
              <w:t xml:space="preserve">行程限位控制器：上升下降均有两套限位开关，可高精度重复 </w:t>
            </w:r>
            <w:r>
              <w:rPr>
                <w:rFonts w:hint="eastAsia"/>
                <w:sz w:val="20"/>
              </w:rPr>
              <w:t>定位</w:t>
            </w:r>
          </w:p>
          <w:p>
            <w:pPr>
              <w:pStyle w:val="23"/>
              <w:spacing w:before="4"/>
              <w:ind w:left="10"/>
              <w:rPr>
                <w:sz w:val="20"/>
                <w:lang w:val="en-US"/>
              </w:rPr>
            </w:pPr>
            <w:r>
              <w:rPr>
                <w:rFonts w:hint="eastAsia"/>
                <w:sz w:val="20"/>
              </w:rPr>
              <w:t>基本保护：限位保护、超程保护、超载保护、冲顶断火保护</w:t>
            </w:r>
          </w:p>
        </w:tc>
        <w:tc>
          <w:tcPr>
            <w:tcW w:w="645" w:type="dxa"/>
            <w:vAlign w:val="center"/>
          </w:tcPr>
          <w:p>
            <w:pPr>
              <w:pStyle w:val="23"/>
              <w:ind w:right="90"/>
              <w:jc w:val="center"/>
              <w:rPr>
                <w:sz w:val="20"/>
              </w:rPr>
            </w:pPr>
            <w:r>
              <w:rPr>
                <w:rFonts w:hint="eastAsia"/>
                <w:sz w:val="20"/>
              </w:rPr>
              <w:t>13</w:t>
            </w:r>
          </w:p>
        </w:tc>
        <w:tc>
          <w:tcPr>
            <w:tcW w:w="570" w:type="dxa"/>
            <w:vAlign w:val="center"/>
          </w:tcPr>
          <w:p>
            <w:pPr>
              <w:pStyle w:val="2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9" w:hRule="atLeast"/>
        </w:trPr>
        <w:tc>
          <w:tcPr>
            <w:tcW w:w="596" w:type="dxa"/>
            <w:vAlign w:val="center"/>
          </w:tcPr>
          <w:p>
            <w:pPr>
              <w:pStyle w:val="23"/>
              <w:ind w:right="62"/>
              <w:jc w:val="center"/>
              <w:rPr>
                <w:sz w:val="20"/>
              </w:rPr>
            </w:pPr>
            <w:r>
              <w:rPr>
                <w:rFonts w:hint="eastAsia"/>
                <w:sz w:val="20"/>
              </w:rPr>
              <w:t>1.2</w:t>
            </w:r>
          </w:p>
        </w:tc>
        <w:tc>
          <w:tcPr>
            <w:tcW w:w="2539" w:type="dxa"/>
            <w:vAlign w:val="center"/>
          </w:tcPr>
          <w:p>
            <w:pPr>
              <w:pStyle w:val="23"/>
              <w:jc w:val="center"/>
              <w:rPr>
                <w:sz w:val="20"/>
              </w:rPr>
            </w:pPr>
            <w:r>
              <w:rPr>
                <w:rFonts w:hint="eastAsia"/>
                <w:sz w:val="20"/>
              </w:rPr>
              <w:t>电动吊杆</w:t>
            </w:r>
          </w:p>
        </w:tc>
        <w:tc>
          <w:tcPr>
            <w:tcW w:w="5490" w:type="dxa"/>
          </w:tcPr>
          <w:p>
            <w:pPr>
              <w:pStyle w:val="23"/>
              <w:spacing w:before="13"/>
              <w:ind w:left="10" w:right="2268"/>
              <w:rPr>
                <w:sz w:val="20"/>
              </w:rPr>
            </w:pPr>
            <w:r>
              <w:rPr>
                <w:rFonts w:hint="eastAsia"/>
                <w:sz w:val="20"/>
              </w:rPr>
              <w:t>单层绕卷卷筒驱动机，高效节能系列吊点：4-6 个</w:t>
            </w:r>
          </w:p>
          <w:p>
            <w:pPr>
              <w:pStyle w:val="23"/>
              <w:spacing w:before="3" w:line="244" w:lineRule="auto"/>
              <w:ind w:left="10" w:right="2468"/>
              <w:rPr>
                <w:sz w:val="20"/>
              </w:rPr>
            </w:pPr>
            <w:r>
              <w:rPr>
                <w:rFonts w:hint="eastAsia"/>
                <w:w w:val="95"/>
                <w:sz w:val="20"/>
              </w:rPr>
              <w:t xml:space="preserve">速度：0.004-0.4m/s（变频调速） </w:t>
            </w:r>
            <w:r>
              <w:rPr>
                <w:rFonts w:hint="eastAsia"/>
                <w:sz w:val="20"/>
              </w:rPr>
              <w:t>载荷：3.0kN</w:t>
            </w:r>
          </w:p>
          <w:p>
            <w:pPr>
              <w:pStyle w:val="23"/>
              <w:spacing w:line="254" w:lineRule="exact"/>
              <w:ind w:left="10"/>
              <w:rPr>
                <w:sz w:val="20"/>
                <w:lang w:val="en-US"/>
              </w:rPr>
            </w:pPr>
            <w:r>
              <w:rPr>
                <w:rFonts w:hint="eastAsia"/>
                <w:sz w:val="20"/>
              </w:rPr>
              <w:t>行程</w:t>
            </w:r>
            <w:r>
              <w:rPr>
                <w:rFonts w:hint="eastAsia"/>
                <w:sz w:val="20"/>
                <w:lang w:val="en-US"/>
              </w:rPr>
              <w:t>：16m</w:t>
            </w:r>
          </w:p>
          <w:p>
            <w:pPr>
              <w:pStyle w:val="23"/>
              <w:spacing w:before="3"/>
              <w:ind w:left="10"/>
              <w:rPr>
                <w:sz w:val="20"/>
                <w:lang w:val="en-US"/>
              </w:rPr>
            </w:pPr>
            <w:r>
              <w:rPr>
                <w:rFonts w:hint="eastAsia"/>
                <w:sz w:val="20"/>
              </w:rPr>
              <w:t>噪</w:t>
            </w:r>
            <w:r>
              <w:rPr>
                <w:rFonts w:hint="eastAsia"/>
                <w:sz w:val="20"/>
                <w:lang w:val="en-US"/>
              </w:rPr>
              <w:t xml:space="preserve"> </w:t>
            </w:r>
            <w:r>
              <w:rPr>
                <w:rFonts w:hint="eastAsia"/>
                <w:sz w:val="20"/>
              </w:rPr>
              <w:t>音</w:t>
            </w:r>
            <w:r>
              <w:rPr>
                <w:rFonts w:hint="eastAsia"/>
                <w:sz w:val="20"/>
                <w:lang w:val="en-US"/>
              </w:rPr>
              <w:t>：&lt;50dB(A)</w:t>
            </w:r>
          </w:p>
          <w:p>
            <w:pPr>
              <w:pStyle w:val="23"/>
              <w:spacing w:before="3" w:line="242" w:lineRule="auto"/>
              <w:ind w:left="10" w:right="3467"/>
              <w:rPr>
                <w:sz w:val="20"/>
              </w:rPr>
            </w:pPr>
            <w:r>
              <w:rPr>
                <w:rFonts w:hint="eastAsia"/>
                <w:sz w:val="20"/>
              </w:rPr>
              <w:t>钢丝绳安全系数：≥10 电机：交流异步电动机</w:t>
            </w:r>
          </w:p>
          <w:p>
            <w:pPr>
              <w:pStyle w:val="23"/>
              <w:spacing w:before="1" w:line="242" w:lineRule="auto"/>
              <w:ind w:left="10" w:right="68"/>
              <w:rPr>
                <w:sz w:val="20"/>
              </w:rPr>
            </w:pPr>
            <w:r>
              <w:rPr>
                <w:rFonts w:hint="eastAsia"/>
                <w:w w:val="95"/>
                <w:sz w:val="20"/>
              </w:rPr>
              <w:t xml:space="preserve">制动器：低噪音故障保护型安全制动器，使用两个独立的制动 </w:t>
            </w:r>
            <w:r>
              <w:rPr>
                <w:rFonts w:hint="eastAsia"/>
                <w:sz w:val="20"/>
              </w:rPr>
              <w:t>器，并设有手动释放装置</w:t>
            </w:r>
          </w:p>
          <w:p>
            <w:pPr>
              <w:pStyle w:val="23"/>
              <w:spacing w:before="1"/>
              <w:ind w:left="10"/>
              <w:rPr>
                <w:sz w:val="20"/>
              </w:rPr>
            </w:pPr>
            <w:r>
              <w:rPr>
                <w:rFonts w:hint="eastAsia"/>
                <w:sz w:val="20"/>
              </w:rPr>
              <w:t>减速机：斜齿轮减速机</w:t>
            </w:r>
          </w:p>
          <w:p>
            <w:pPr>
              <w:pStyle w:val="23"/>
              <w:spacing w:before="3" w:line="242" w:lineRule="auto"/>
              <w:ind w:left="10" w:right="1566"/>
              <w:rPr>
                <w:sz w:val="20"/>
              </w:rPr>
            </w:pPr>
            <w:r>
              <w:rPr>
                <w:rFonts w:hint="eastAsia"/>
                <w:w w:val="95"/>
                <w:sz w:val="20"/>
              </w:rPr>
              <w:t xml:space="preserve">安全及检测装置：位置检测，定位精度±5mm </w:t>
            </w:r>
            <w:r>
              <w:rPr>
                <w:rFonts w:hint="eastAsia"/>
                <w:sz w:val="20"/>
              </w:rPr>
              <w:t>防护等级：≥IP54</w:t>
            </w:r>
          </w:p>
          <w:p>
            <w:pPr>
              <w:pStyle w:val="23"/>
              <w:spacing w:before="1"/>
              <w:ind w:left="10"/>
              <w:rPr>
                <w:sz w:val="20"/>
              </w:rPr>
            </w:pPr>
            <w:r>
              <w:rPr>
                <w:rFonts w:hint="eastAsia"/>
                <w:sz w:val="20"/>
              </w:rPr>
              <w:t>绝缘等级：F 级</w:t>
            </w:r>
          </w:p>
          <w:p>
            <w:pPr>
              <w:pStyle w:val="23"/>
              <w:spacing w:before="3" w:line="242" w:lineRule="auto"/>
              <w:ind w:left="10" w:right="68"/>
              <w:rPr>
                <w:sz w:val="20"/>
              </w:rPr>
            </w:pPr>
            <w:r>
              <w:rPr>
                <w:rFonts w:hint="eastAsia"/>
                <w:w w:val="95"/>
                <w:sz w:val="20"/>
              </w:rPr>
              <w:t xml:space="preserve">行程限位控制器：上升下降均有两套限位开关，可高精度重复 </w:t>
            </w:r>
            <w:r>
              <w:rPr>
                <w:rFonts w:hint="eastAsia"/>
                <w:sz w:val="20"/>
              </w:rPr>
              <w:t>定位</w:t>
            </w:r>
          </w:p>
          <w:p>
            <w:pPr>
              <w:pStyle w:val="23"/>
              <w:spacing w:before="3"/>
              <w:ind w:left="10"/>
              <w:rPr>
                <w:sz w:val="20"/>
              </w:rPr>
            </w:pPr>
            <w:r>
              <w:rPr>
                <w:rFonts w:hint="eastAsia"/>
                <w:sz w:val="20"/>
              </w:rPr>
              <w:t>基本保护：限位保护、超程保护、超载保护、冲顶断火保护</w:t>
            </w:r>
          </w:p>
        </w:tc>
        <w:tc>
          <w:tcPr>
            <w:tcW w:w="645" w:type="dxa"/>
            <w:vAlign w:val="center"/>
          </w:tcPr>
          <w:p>
            <w:pPr>
              <w:pStyle w:val="23"/>
              <w:ind w:right="90"/>
              <w:jc w:val="center"/>
              <w:rPr>
                <w:sz w:val="20"/>
              </w:rPr>
            </w:pPr>
            <w:r>
              <w:rPr>
                <w:rFonts w:hint="eastAsia"/>
                <w:sz w:val="20"/>
              </w:rPr>
              <w:t>14</w:t>
            </w:r>
          </w:p>
        </w:tc>
        <w:tc>
          <w:tcPr>
            <w:tcW w:w="570" w:type="dxa"/>
            <w:vAlign w:val="center"/>
          </w:tcPr>
          <w:p>
            <w:pPr>
              <w:pStyle w:val="2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trPr>
        <w:tc>
          <w:tcPr>
            <w:tcW w:w="596" w:type="dxa"/>
            <w:vAlign w:val="center"/>
          </w:tcPr>
          <w:p>
            <w:pPr>
              <w:pStyle w:val="23"/>
              <w:ind w:right="62"/>
              <w:jc w:val="center"/>
              <w:rPr>
                <w:sz w:val="20"/>
              </w:rPr>
            </w:pPr>
            <w:r>
              <w:rPr>
                <w:rFonts w:hint="eastAsia"/>
                <w:sz w:val="20"/>
              </w:rPr>
              <w:t>1.3</w:t>
            </w:r>
          </w:p>
        </w:tc>
        <w:tc>
          <w:tcPr>
            <w:tcW w:w="2539" w:type="dxa"/>
            <w:vAlign w:val="center"/>
          </w:tcPr>
          <w:p>
            <w:pPr>
              <w:pStyle w:val="23"/>
              <w:spacing w:before="144" w:line="242" w:lineRule="auto"/>
              <w:ind w:right="129"/>
              <w:jc w:val="center"/>
              <w:rPr>
                <w:sz w:val="20"/>
              </w:rPr>
            </w:pPr>
            <w:r>
              <w:rPr>
                <w:rFonts w:hint="eastAsia"/>
                <w:sz w:val="20"/>
              </w:rPr>
              <w:t>天幕区电动吊杆（保留原有设备）</w:t>
            </w:r>
          </w:p>
        </w:tc>
        <w:tc>
          <w:tcPr>
            <w:tcW w:w="5490" w:type="dxa"/>
          </w:tcPr>
          <w:p>
            <w:pPr>
              <w:pStyle w:val="23"/>
              <w:spacing w:before="11"/>
              <w:ind w:left="10"/>
              <w:jc w:val="both"/>
              <w:rPr>
                <w:sz w:val="20"/>
              </w:rPr>
            </w:pPr>
            <w:r>
              <w:rPr>
                <w:rFonts w:hint="eastAsia"/>
                <w:sz w:val="20"/>
              </w:rPr>
              <w:t>吊点：6 个</w:t>
            </w:r>
          </w:p>
          <w:p>
            <w:pPr>
              <w:pStyle w:val="23"/>
              <w:spacing w:before="3" w:line="242" w:lineRule="auto"/>
              <w:ind w:left="10" w:right="3468"/>
              <w:jc w:val="both"/>
              <w:rPr>
                <w:sz w:val="20"/>
              </w:rPr>
            </w:pPr>
            <w:r>
              <w:rPr>
                <w:rFonts w:hint="eastAsia"/>
                <w:sz w:val="20"/>
              </w:rPr>
              <w:t>速度：根据原设备参数载荷：根据原设备参数行程：根据原设备参数</w:t>
            </w:r>
          </w:p>
          <w:p>
            <w:pPr>
              <w:pStyle w:val="23"/>
              <w:spacing w:before="1"/>
              <w:ind w:left="10"/>
              <w:rPr>
                <w:sz w:val="20"/>
              </w:rPr>
            </w:pPr>
            <w:r>
              <w:rPr>
                <w:rFonts w:hint="eastAsia"/>
                <w:sz w:val="20"/>
              </w:rPr>
              <w:t>将控制融入新机械控制系统</w:t>
            </w:r>
          </w:p>
        </w:tc>
        <w:tc>
          <w:tcPr>
            <w:tcW w:w="645" w:type="dxa"/>
            <w:vAlign w:val="center"/>
          </w:tcPr>
          <w:p>
            <w:pPr>
              <w:pStyle w:val="23"/>
              <w:jc w:val="center"/>
              <w:rPr>
                <w:sz w:val="20"/>
              </w:rPr>
            </w:pPr>
            <w:r>
              <w:rPr>
                <w:rFonts w:hint="eastAsia"/>
                <w:w w:val="99"/>
                <w:sz w:val="20"/>
              </w:rPr>
              <w:t>4</w:t>
            </w:r>
          </w:p>
        </w:tc>
        <w:tc>
          <w:tcPr>
            <w:tcW w:w="570" w:type="dxa"/>
            <w:vAlign w:val="center"/>
          </w:tcPr>
          <w:p>
            <w:pPr>
              <w:pStyle w:val="2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96" w:type="dxa"/>
            <w:vAlign w:val="center"/>
          </w:tcPr>
          <w:p>
            <w:pPr>
              <w:pStyle w:val="23"/>
              <w:spacing w:before="175"/>
              <w:ind w:right="62"/>
              <w:jc w:val="center"/>
              <w:rPr>
                <w:sz w:val="20"/>
              </w:rPr>
            </w:pPr>
            <w:r>
              <w:rPr>
                <w:rFonts w:hint="eastAsia"/>
                <w:sz w:val="20"/>
              </w:rPr>
              <w:t>1.4</w:t>
            </w:r>
          </w:p>
        </w:tc>
        <w:tc>
          <w:tcPr>
            <w:tcW w:w="2539" w:type="dxa"/>
            <w:vAlign w:val="center"/>
          </w:tcPr>
          <w:p>
            <w:pPr>
              <w:pStyle w:val="23"/>
              <w:spacing w:line="242" w:lineRule="auto"/>
              <w:ind w:right="129"/>
              <w:jc w:val="center"/>
              <w:rPr>
                <w:sz w:val="20"/>
              </w:rPr>
            </w:pPr>
            <w:r>
              <w:rPr>
                <w:rFonts w:hint="eastAsia"/>
                <w:sz w:val="20"/>
              </w:rPr>
              <w:t>前区电动侧光吊杆（延用原有设备）</w:t>
            </w:r>
          </w:p>
        </w:tc>
        <w:tc>
          <w:tcPr>
            <w:tcW w:w="5490" w:type="dxa"/>
          </w:tcPr>
          <w:p>
            <w:pPr>
              <w:pStyle w:val="23"/>
              <w:spacing w:before="11" w:line="242" w:lineRule="auto"/>
              <w:ind w:left="10" w:right="4470"/>
              <w:rPr>
                <w:sz w:val="20"/>
              </w:rPr>
            </w:pPr>
            <w:r>
              <w:rPr>
                <w:rFonts w:hint="eastAsia"/>
                <w:sz w:val="20"/>
              </w:rPr>
              <w:t>长度：5m 吊点：2 个</w:t>
            </w:r>
          </w:p>
          <w:p>
            <w:pPr>
              <w:pStyle w:val="23"/>
              <w:spacing w:before="1"/>
              <w:ind w:left="10"/>
              <w:rPr>
                <w:sz w:val="20"/>
              </w:rPr>
            </w:pPr>
            <w:r>
              <w:rPr>
                <w:rFonts w:hint="eastAsia"/>
                <w:w w:val="95"/>
                <w:sz w:val="20"/>
              </w:rPr>
              <w:t>速度：根据原设备参数</w:t>
            </w:r>
          </w:p>
          <w:p>
            <w:pPr>
              <w:pStyle w:val="23"/>
              <w:spacing w:before="5" w:line="250" w:lineRule="atLeast"/>
              <w:ind w:left="10" w:right="3468"/>
              <w:rPr>
                <w:sz w:val="20"/>
              </w:rPr>
            </w:pPr>
            <w:r>
              <w:rPr>
                <w:rFonts w:hint="eastAsia"/>
                <w:spacing w:val="-2"/>
                <w:sz w:val="20"/>
              </w:rPr>
              <w:t>载荷：根据原设备参数</w:t>
            </w:r>
            <w:r>
              <w:rPr>
                <w:rFonts w:hint="eastAsia"/>
                <w:spacing w:val="-2"/>
                <w:w w:val="95"/>
                <w:sz w:val="20"/>
              </w:rPr>
              <w:t>行程：根据原设备参数</w:t>
            </w:r>
          </w:p>
        </w:tc>
        <w:tc>
          <w:tcPr>
            <w:tcW w:w="645" w:type="dxa"/>
            <w:vAlign w:val="center"/>
          </w:tcPr>
          <w:p>
            <w:pPr>
              <w:pStyle w:val="23"/>
              <w:spacing w:before="175"/>
              <w:jc w:val="center"/>
              <w:rPr>
                <w:sz w:val="20"/>
              </w:rPr>
            </w:pPr>
            <w:r>
              <w:rPr>
                <w:rFonts w:hint="eastAsia"/>
                <w:w w:val="99"/>
                <w:sz w:val="20"/>
              </w:rPr>
              <w:t>2</w:t>
            </w:r>
          </w:p>
        </w:tc>
        <w:tc>
          <w:tcPr>
            <w:tcW w:w="570" w:type="dxa"/>
            <w:vAlign w:val="center"/>
          </w:tcPr>
          <w:p>
            <w:pPr>
              <w:pStyle w:val="23"/>
              <w:spacing w:before="175"/>
              <w:jc w:val="center"/>
              <w:rPr>
                <w:sz w:val="20"/>
              </w:rPr>
            </w:pPr>
            <w:r>
              <w:rPr>
                <w:rFonts w:hint="eastAsia"/>
                <w:w w:val="99"/>
                <w:sz w:val="20"/>
              </w:rPr>
              <w:t>套</w:t>
            </w:r>
          </w:p>
        </w:tc>
      </w:tr>
    </w:tbl>
    <w:p>
      <w:pPr>
        <w:jc w:val="center"/>
        <w:rPr>
          <w:sz w:val="20"/>
        </w:rPr>
        <w:sectPr>
          <w:pgSz w:w="11910" w:h="16840"/>
          <w:pgMar w:top="1380" w:right="920" w:bottom="1120" w:left="920" w:header="0" w:footer="847" w:gutter="0"/>
          <w:cols w:space="720" w:num="1"/>
        </w:sectPr>
      </w:pPr>
    </w:p>
    <w:tbl>
      <w:tblPr>
        <w:tblStyle w:val="1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2550"/>
        <w:gridCol w:w="5490"/>
        <w:gridCol w:w="645"/>
        <w:gridCol w:w="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585" w:type="dxa"/>
          </w:tcPr>
          <w:p>
            <w:pPr>
              <w:pStyle w:val="23"/>
              <w:rPr>
                <w:sz w:val="18"/>
              </w:rPr>
            </w:pPr>
          </w:p>
        </w:tc>
        <w:tc>
          <w:tcPr>
            <w:tcW w:w="2550" w:type="dxa"/>
          </w:tcPr>
          <w:p>
            <w:pPr>
              <w:pStyle w:val="23"/>
              <w:rPr>
                <w:sz w:val="18"/>
              </w:rPr>
            </w:pPr>
          </w:p>
        </w:tc>
        <w:tc>
          <w:tcPr>
            <w:tcW w:w="5490" w:type="dxa"/>
          </w:tcPr>
          <w:p>
            <w:pPr>
              <w:pStyle w:val="23"/>
              <w:spacing w:before="12"/>
              <w:ind w:left="10"/>
              <w:rPr>
                <w:sz w:val="20"/>
              </w:rPr>
            </w:pPr>
            <w:r>
              <w:rPr>
                <w:rFonts w:hint="eastAsia"/>
                <w:sz w:val="20"/>
              </w:rPr>
              <w:t>将控制融入新机械控制系统</w:t>
            </w:r>
          </w:p>
        </w:tc>
        <w:tc>
          <w:tcPr>
            <w:tcW w:w="645" w:type="dxa"/>
          </w:tcPr>
          <w:p>
            <w:pPr>
              <w:pStyle w:val="23"/>
              <w:rPr>
                <w:sz w:val="18"/>
              </w:rPr>
            </w:pPr>
          </w:p>
        </w:tc>
        <w:tc>
          <w:tcPr>
            <w:tcW w:w="570" w:type="dxa"/>
          </w:tcPr>
          <w:p>
            <w:pPr>
              <w:pStyle w:val="23"/>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85" w:type="dxa"/>
          </w:tcPr>
          <w:p>
            <w:pPr>
              <w:pStyle w:val="23"/>
              <w:spacing w:before="13"/>
              <w:ind w:left="71" w:right="62"/>
              <w:jc w:val="center"/>
              <w:rPr>
                <w:sz w:val="20"/>
              </w:rPr>
            </w:pPr>
            <w:r>
              <w:rPr>
                <w:rFonts w:hint="eastAsia"/>
                <w:sz w:val="20"/>
              </w:rPr>
              <w:t>1.5</w:t>
            </w:r>
          </w:p>
        </w:tc>
        <w:tc>
          <w:tcPr>
            <w:tcW w:w="2550" w:type="dxa"/>
          </w:tcPr>
          <w:p>
            <w:pPr>
              <w:pStyle w:val="23"/>
              <w:spacing w:before="13"/>
              <w:ind w:left="8"/>
              <w:rPr>
                <w:sz w:val="20"/>
              </w:rPr>
            </w:pPr>
            <w:r>
              <w:rPr>
                <w:rFonts w:hint="eastAsia"/>
                <w:sz w:val="20"/>
              </w:rPr>
              <w:t>增加驱动机结构梁</w:t>
            </w:r>
          </w:p>
        </w:tc>
        <w:tc>
          <w:tcPr>
            <w:tcW w:w="5490" w:type="dxa"/>
          </w:tcPr>
          <w:p>
            <w:pPr>
              <w:pStyle w:val="23"/>
              <w:spacing w:before="13"/>
              <w:ind w:left="10"/>
              <w:rPr>
                <w:sz w:val="20"/>
              </w:rPr>
            </w:pPr>
            <w:r>
              <w:rPr>
                <w:rFonts w:hint="eastAsia"/>
                <w:sz w:val="20"/>
              </w:rPr>
              <w:t>钢结构；现场制作</w:t>
            </w:r>
          </w:p>
        </w:tc>
        <w:tc>
          <w:tcPr>
            <w:tcW w:w="645" w:type="dxa"/>
          </w:tcPr>
          <w:p>
            <w:pPr>
              <w:pStyle w:val="23"/>
              <w:spacing w:before="13"/>
              <w:ind w:left="5"/>
              <w:jc w:val="center"/>
              <w:rPr>
                <w:sz w:val="20"/>
              </w:rPr>
            </w:pPr>
            <w:r>
              <w:rPr>
                <w:rFonts w:hint="eastAsia"/>
                <w:w w:val="99"/>
                <w:sz w:val="20"/>
              </w:rPr>
              <w:t>2</w:t>
            </w:r>
          </w:p>
        </w:tc>
        <w:tc>
          <w:tcPr>
            <w:tcW w:w="570" w:type="dxa"/>
          </w:tcPr>
          <w:p>
            <w:pPr>
              <w:pStyle w:val="23"/>
              <w:spacing w:before="13"/>
              <w:ind w:left="8"/>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85" w:type="dxa"/>
            <w:shd w:val="clear" w:color="auto" w:fill="FFFF00"/>
          </w:tcPr>
          <w:p>
            <w:pPr>
              <w:pStyle w:val="23"/>
              <w:rPr>
                <w:sz w:val="18"/>
              </w:rPr>
            </w:pPr>
          </w:p>
        </w:tc>
        <w:tc>
          <w:tcPr>
            <w:tcW w:w="2550" w:type="dxa"/>
            <w:shd w:val="clear" w:color="auto" w:fill="FFFF00"/>
          </w:tcPr>
          <w:p>
            <w:pPr>
              <w:pStyle w:val="23"/>
              <w:spacing w:before="10"/>
              <w:ind w:left="724"/>
              <w:rPr>
                <w:b/>
                <w:sz w:val="20"/>
              </w:rPr>
            </w:pPr>
            <w:r>
              <w:rPr>
                <w:rFonts w:hint="eastAsia"/>
                <w:b/>
                <w:sz w:val="20"/>
              </w:rPr>
              <w:t>2、控制系统</w:t>
            </w:r>
          </w:p>
        </w:tc>
        <w:tc>
          <w:tcPr>
            <w:tcW w:w="5490" w:type="dxa"/>
            <w:shd w:val="clear" w:color="auto" w:fill="FFFF00"/>
          </w:tcPr>
          <w:p>
            <w:pPr>
              <w:pStyle w:val="23"/>
              <w:rPr>
                <w:sz w:val="18"/>
              </w:rPr>
            </w:pPr>
          </w:p>
        </w:tc>
        <w:tc>
          <w:tcPr>
            <w:tcW w:w="645" w:type="dxa"/>
            <w:shd w:val="clear" w:color="auto" w:fill="FFFF00"/>
          </w:tcPr>
          <w:p>
            <w:pPr>
              <w:pStyle w:val="23"/>
              <w:rPr>
                <w:sz w:val="18"/>
              </w:rPr>
            </w:pPr>
          </w:p>
        </w:tc>
        <w:tc>
          <w:tcPr>
            <w:tcW w:w="570" w:type="dxa"/>
            <w:shd w:val="clear" w:color="auto" w:fill="FFFF00"/>
          </w:tcPr>
          <w:p>
            <w:pPr>
              <w:pStyle w:val="23"/>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7" w:hRule="atLeast"/>
        </w:trPr>
        <w:tc>
          <w:tcPr>
            <w:tcW w:w="585" w:type="dxa"/>
            <w:vAlign w:val="center"/>
          </w:tcPr>
          <w:p>
            <w:pPr>
              <w:pStyle w:val="23"/>
              <w:ind w:right="62"/>
              <w:jc w:val="center"/>
              <w:rPr>
                <w:sz w:val="20"/>
              </w:rPr>
            </w:pPr>
            <w:r>
              <w:rPr>
                <w:rFonts w:hint="eastAsia"/>
                <w:sz w:val="20"/>
              </w:rPr>
              <w:t>2.1</w:t>
            </w:r>
          </w:p>
        </w:tc>
        <w:tc>
          <w:tcPr>
            <w:tcW w:w="2550" w:type="dxa"/>
            <w:vAlign w:val="center"/>
          </w:tcPr>
          <w:p>
            <w:pPr>
              <w:pStyle w:val="23"/>
              <w:jc w:val="center"/>
              <w:rPr>
                <w:sz w:val="20"/>
              </w:rPr>
            </w:pPr>
            <w:r>
              <w:rPr>
                <w:rFonts w:hint="eastAsia"/>
                <w:sz w:val="20"/>
              </w:rPr>
              <w:t>主控制台</w:t>
            </w:r>
          </w:p>
        </w:tc>
        <w:tc>
          <w:tcPr>
            <w:tcW w:w="5490" w:type="dxa"/>
          </w:tcPr>
          <w:p>
            <w:pPr>
              <w:pStyle w:val="23"/>
              <w:spacing w:before="11"/>
              <w:ind w:left="10"/>
              <w:rPr>
                <w:sz w:val="20"/>
              </w:rPr>
            </w:pPr>
            <w:r>
              <w:rPr>
                <w:rFonts w:hint="eastAsia"/>
                <w:sz w:val="20"/>
              </w:rPr>
              <w:t>2 个 19 英寸工业触摸显示屏，分辨率为 1280*1024；</w:t>
            </w:r>
          </w:p>
          <w:p>
            <w:pPr>
              <w:pStyle w:val="23"/>
              <w:spacing w:before="3" w:line="242" w:lineRule="auto"/>
              <w:ind w:left="10" w:right="121"/>
              <w:rPr>
                <w:sz w:val="20"/>
              </w:rPr>
            </w:pPr>
            <w:r>
              <w:rPr>
                <w:rFonts w:hint="eastAsia"/>
                <w:sz w:val="20"/>
              </w:rPr>
              <w:t>2</w:t>
            </w:r>
            <w:r>
              <w:rPr>
                <w:rFonts w:hint="eastAsia"/>
                <w:spacing w:val="-8"/>
                <w:sz w:val="20"/>
              </w:rPr>
              <w:t xml:space="preserve"> 个带安全按钮及调速功能的操纵杆，操纵杆带操作提示灯； 紧急停止按钮，带操作提示灯；</w:t>
            </w:r>
          </w:p>
          <w:p>
            <w:pPr>
              <w:pStyle w:val="23"/>
              <w:spacing w:before="1" w:line="242" w:lineRule="auto"/>
              <w:ind w:left="10" w:right="2550"/>
              <w:rPr>
                <w:sz w:val="20"/>
              </w:rPr>
            </w:pPr>
            <w:r>
              <w:rPr>
                <w:rFonts w:hint="eastAsia"/>
                <w:sz w:val="20"/>
              </w:rPr>
              <w:t>IC 卡访问，操作权限等级管理； LED 鹅颈灯；</w:t>
            </w:r>
          </w:p>
          <w:p>
            <w:pPr>
              <w:pStyle w:val="23"/>
              <w:spacing w:before="1" w:line="244" w:lineRule="auto"/>
              <w:ind w:left="10" w:right="3819"/>
              <w:rPr>
                <w:sz w:val="20"/>
              </w:rPr>
            </w:pPr>
            <w:r>
              <w:rPr>
                <w:rFonts w:hint="eastAsia"/>
                <w:sz w:val="20"/>
              </w:rPr>
              <w:t>2</w:t>
            </w:r>
            <w:r>
              <w:rPr>
                <w:rFonts w:hint="eastAsia"/>
                <w:spacing w:val="-35"/>
                <w:sz w:val="20"/>
              </w:rPr>
              <w:t xml:space="preserve"> 个 </w:t>
            </w:r>
            <w:r>
              <w:rPr>
                <w:rFonts w:hint="eastAsia"/>
                <w:sz w:val="20"/>
              </w:rPr>
              <w:t>USB3.0</w:t>
            </w:r>
            <w:r>
              <w:rPr>
                <w:rFonts w:hint="eastAsia"/>
                <w:spacing w:val="-17"/>
                <w:sz w:val="20"/>
              </w:rPr>
              <w:t xml:space="preserve"> 接口； </w:t>
            </w:r>
            <w:r>
              <w:rPr>
                <w:rFonts w:hint="eastAsia"/>
                <w:spacing w:val="-9"/>
                <w:sz w:val="20"/>
              </w:rPr>
              <w:t xml:space="preserve">电源：直流 </w:t>
            </w:r>
            <w:r>
              <w:rPr>
                <w:rFonts w:hint="eastAsia"/>
                <w:sz w:val="20"/>
              </w:rPr>
              <w:t>24V；</w:t>
            </w:r>
          </w:p>
          <w:p>
            <w:pPr>
              <w:pStyle w:val="23"/>
              <w:spacing w:line="252" w:lineRule="exact"/>
              <w:ind w:left="10"/>
              <w:rPr>
                <w:sz w:val="20"/>
              </w:rPr>
            </w:pPr>
            <w:r>
              <w:rPr>
                <w:rFonts w:hint="eastAsia"/>
                <w:spacing w:val="-9"/>
                <w:sz w:val="20"/>
              </w:rPr>
              <w:t xml:space="preserve">控制台采用 </w:t>
            </w:r>
            <w:r>
              <w:rPr>
                <w:rFonts w:hint="eastAsia"/>
                <w:sz w:val="20"/>
              </w:rPr>
              <w:t>2</w:t>
            </w:r>
            <w:r>
              <w:rPr>
                <w:rFonts w:hint="eastAsia"/>
                <w:spacing w:val="-8"/>
                <w:sz w:val="20"/>
              </w:rPr>
              <w:t xml:space="preserve"> 个工业级、大尺寸、高分辨率的触摸显示屏。在</w:t>
            </w:r>
          </w:p>
          <w:p>
            <w:pPr>
              <w:pStyle w:val="23"/>
              <w:spacing w:before="5" w:line="242" w:lineRule="auto"/>
              <w:ind w:left="10" w:right="68"/>
              <w:jc w:val="both"/>
              <w:rPr>
                <w:sz w:val="20"/>
              </w:rPr>
            </w:pPr>
            <w:r>
              <w:rPr>
                <w:rFonts w:hint="eastAsia"/>
                <w:spacing w:val="-7"/>
                <w:sz w:val="20"/>
              </w:rPr>
              <w:t xml:space="preserve">复杂环境下可实现 </w:t>
            </w:r>
            <w:r>
              <w:rPr>
                <w:rFonts w:hint="eastAsia"/>
                <w:sz w:val="20"/>
              </w:rPr>
              <w:t>50000</w:t>
            </w:r>
            <w:r>
              <w:rPr>
                <w:rFonts w:hint="eastAsia"/>
                <w:spacing w:val="-8"/>
                <w:sz w:val="20"/>
              </w:rPr>
              <w:t xml:space="preserve"> 小时无故障运行。触摸屏上的按键设</w:t>
            </w:r>
            <w:r>
              <w:rPr>
                <w:rFonts w:hint="eastAsia"/>
                <w:spacing w:val="-8"/>
                <w:w w:val="95"/>
                <w:sz w:val="20"/>
              </w:rPr>
              <w:t xml:space="preserve">计足够大，可简单安全的使用，避免误操作。控制台在不使用 </w:t>
            </w:r>
            <w:r>
              <w:rPr>
                <w:rFonts w:hint="eastAsia"/>
                <w:spacing w:val="-8"/>
                <w:sz w:val="20"/>
              </w:rPr>
              <w:t>时上面一个显示屏可以关上，保护下面的显示屏。</w:t>
            </w:r>
          </w:p>
          <w:p>
            <w:pPr>
              <w:pStyle w:val="23"/>
              <w:spacing w:before="1" w:line="242" w:lineRule="auto"/>
              <w:ind w:left="10" w:right="68"/>
              <w:rPr>
                <w:sz w:val="20"/>
              </w:rPr>
            </w:pPr>
            <w:r>
              <w:rPr>
                <w:rFonts w:hint="eastAsia"/>
                <w:w w:val="95"/>
                <w:sz w:val="20"/>
              </w:rPr>
              <w:t xml:space="preserve">两个操纵杆配置在触摸显示屏两侧，分别适合习惯左手或右手 的人使用。两个操纵杆以不同的颜色标示，通过软件定义不同 </w:t>
            </w:r>
            <w:r>
              <w:rPr>
                <w:rFonts w:hint="eastAsia"/>
                <w:sz w:val="20"/>
              </w:rPr>
              <w:t>的功能。操纵杆带安全操作按钮及调速功能，配置操作提示 灯。</w:t>
            </w:r>
          </w:p>
          <w:p>
            <w:pPr>
              <w:pStyle w:val="23"/>
              <w:spacing w:before="2" w:line="242" w:lineRule="auto"/>
              <w:ind w:left="10" w:right="68"/>
              <w:jc w:val="both"/>
              <w:rPr>
                <w:sz w:val="20"/>
              </w:rPr>
            </w:pPr>
            <w:r>
              <w:rPr>
                <w:rFonts w:hint="eastAsia"/>
                <w:w w:val="95"/>
                <w:sz w:val="20"/>
              </w:rPr>
              <w:t xml:space="preserve">紧急停止按钮连接控制系统的紧急安全回路，当发生紧急情况 是时拍下紧急停止按钮，设备立即停止运行。在设备状态中可 </w:t>
            </w:r>
            <w:r>
              <w:rPr>
                <w:rFonts w:hint="eastAsia"/>
                <w:sz w:val="20"/>
              </w:rPr>
              <w:t>查看到被拍下急停按钮的位置。</w:t>
            </w:r>
          </w:p>
          <w:p>
            <w:pPr>
              <w:pStyle w:val="23"/>
              <w:spacing w:before="1" w:line="242" w:lineRule="auto"/>
              <w:ind w:left="10" w:right="68"/>
              <w:rPr>
                <w:spacing w:val="-8"/>
                <w:sz w:val="20"/>
                <w:lang w:val="en-US"/>
              </w:rPr>
            </w:pPr>
            <w:r>
              <w:rPr>
                <w:rFonts w:hint="eastAsia"/>
                <w:spacing w:val="-8"/>
                <w:sz w:val="20"/>
              </w:rPr>
              <w:t xml:space="preserve">操作员可通过 </w:t>
            </w:r>
            <w:r>
              <w:rPr>
                <w:rFonts w:hint="eastAsia"/>
                <w:sz w:val="20"/>
              </w:rPr>
              <w:t>IC</w:t>
            </w:r>
            <w:r>
              <w:rPr>
                <w:rFonts w:hint="eastAsia"/>
                <w:spacing w:val="-8"/>
                <w:sz w:val="20"/>
              </w:rPr>
              <w:t xml:space="preserve"> 卡访问或密码登陆的方式进入系统。系统授</w:t>
            </w:r>
            <w:r>
              <w:rPr>
                <w:rFonts w:hint="eastAsia"/>
                <w:spacing w:val="-8"/>
                <w:w w:val="95"/>
                <w:sz w:val="20"/>
              </w:rPr>
              <w:t xml:space="preserve">权分多个级别，可对不同的操作员设置不同的访问权限，操作 </w:t>
            </w:r>
            <w:r>
              <w:rPr>
                <w:rFonts w:hint="eastAsia"/>
                <w:spacing w:val="-8"/>
                <w:sz w:val="20"/>
              </w:rPr>
              <w:t>员通过相应的权限进行操作，提高系统的安全性。</w:t>
            </w:r>
          </w:p>
        </w:tc>
        <w:tc>
          <w:tcPr>
            <w:tcW w:w="645" w:type="dxa"/>
            <w:vAlign w:val="center"/>
          </w:tcPr>
          <w:p>
            <w:pPr>
              <w:pStyle w:val="23"/>
              <w:jc w:val="center"/>
              <w:rPr>
                <w:sz w:val="20"/>
              </w:rPr>
            </w:pPr>
            <w:r>
              <w:rPr>
                <w:rFonts w:hint="eastAsia"/>
                <w:w w:val="99"/>
                <w:sz w:val="20"/>
              </w:rPr>
              <w:t>1</w:t>
            </w:r>
          </w:p>
        </w:tc>
        <w:tc>
          <w:tcPr>
            <w:tcW w:w="570" w:type="dxa"/>
            <w:vAlign w:val="center"/>
          </w:tcPr>
          <w:p>
            <w:pPr>
              <w:pStyle w:val="2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5" w:type="dxa"/>
            <w:vAlign w:val="center"/>
          </w:tcPr>
          <w:p>
            <w:pPr>
              <w:pStyle w:val="23"/>
              <w:spacing w:before="143"/>
              <w:ind w:right="62"/>
              <w:jc w:val="center"/>
              <w:rPr>
                <w:sz w:val="20"/>
              </w:rPr>
            </w:pPr>
            <w:r>
              <w:rPr>
                <w:rFonts w:hint="eastAsia"/>
                <w:sz w:val="20"/>
              </w:rPr>
              <w:t>2.2</w:t>
            </w:r>
          </w:p>
        </w:tc>
        <w:tc>
          <w:tcPr>
            <w:tcW w:w="2550" w:type="dxa"/>
            <w:vAlign w:val="center"/>
          </w:tcPr>
          <w:p>
            <w:pPr>
              <w:pStyle w:val="23"/>
              <w:spacing w:before="143"/>
              <w:jc w:val="center"/>
              <w:rPr>
                <w:sz w:val="20"/>
              </w:rPr>
            </w:pPr>
            <w:r>
              <w:rPr>
                <w:rFonts w:hint="eastAsia"/>
                <w:sz w:val="20"/>
              </w:rPr>
              <w:t>移动控台</w:t>
            </w:r>
          </w:p>
        </w:tc>
        <w:tc>
          <w:tcPr>
            <w:tcW w:w="5490" w:type="dxa"/>
          </w:tcPr>
          <w:p>
            <w:pPr>
              <w:pStyle w:val="23"/>
              <w:spacing w:before="11" w:line="242" w:lineRule="auto"/>
              <w:ind w:left="10" w:right="68"/>
              <w:jc w:val="both"/>
              <w:rPr>
                <w:sz w:val="20"/>
              </w:rPr>
            </w:pPr>
            <w:r>
              <w:rPr>
                <w:rFonts w:hint="eastAsia"/>
                <w:w w:val="95"/>
                <w:sz w:val="20"/>
              </w:rPr>
              <w:t xml:space="preserve">数控控制台实现精确定位的控制功能。升降及开闭均有指示灯 指示，上升下降限位功能，配备急停按钮。断相与相序保护、 </w:t>
            </w:r>
            <w:r>
              <w:rPr>
                <w:rFonts w:hint="eastAsia"/>
                <w:sz w:val="20"/>
              </w:rPr>
              <w:t>行程限位保护、超程限位保护、过流过载保护</w:t>
            </w:r>
          </w:p>
          <w:p>
            <w:pPr>
              <w:pStyle w:val="23"/>
              <w:spacing w:before="3"/>
              <w:ind w:left="10"/>
              <w:jc w:val="both"/>
              <w:rPr>
                <w:sz w:val="20"/>
              </w:rPr>
            </w:pPr>
            <w:r>
              <w:rPr>
                <w:rFonts w:hint="eastAsia"/>
                <w:sz w:val="20"/>
              </w:rPr>
              <w:t>控制按钮等关键元器件采用 Schneider 产品</w:t>
            </w:r>
          </w:p>
        </w:tc>
        <w:tc>
          <w:tcPr>
            <w:tcW w:w="645" w:type="dxa"/>
            <w:vAlign w:val="center"/>
          </w:tcPr>
          <w:p>
            <w:pPr>
              <w:pStyle w:val="23"/>
              <w:spacing w:before="143"/>
              <w:jc w:val="center"/>
              <w:rPr>
                <w:sz w:val="20"/>
              </w:rPr>
            </w:pPr>
            <w:r>
              <w:rPr>
                <w:rFonts w:hint="eastAsia"/>
                <w:w w:val="99"/>
                <w:sz w:val="20"/>
              </w:rPr>
              <w:t>1</w:t>
            </w:r>
          </w:p>
        </w:tc>
        <w:tc>
          <w:tcPr>
            <w:tcW w:w="570" w:type="dxa"/>
            <w:vAlign w:val="center"/>
          </w:tcPr>
          <w:p>
            <w:pPr>
              <w:pStyle w:val="23"/>
              <w:spacing w:before="14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585" w:type="dxa"/>
            <w:vAlign w:val="center"/>
          </w:tcPr>
          <w:p>
            <w:pPr>
              <w:pStyle w:val="23"/>
              <w:ind w:right="62"/>
              <w:jc w:val="center"/>
              <w:rPr>
                <w:sz w:val="20"/>
              </w:rPr>
            </w:pPr>
            <w:r>
              <w:rPr>
                <w:rFonts w:hint="eastAsia"/>
                <w:sz w:val="20"/>
              </w:rPr>
              <w:t>2.3</w:t>
            </w:r>
          </w:p>
        </w:tc>
        <w:tc>
          <w:tcPr>
            <w:tcW w:w="2550" w:type="dxa"/>
            <w:vAlign w:val="center"/>
          </w:tcPr>
          <w:p>
            <w:pPr>
              <w:pStyle w:val="23"/>
              <w:jc w:val="center"/>
              <w:rPr>
                <w:sz w:val="20"/>
              </w:rPr>
            </w:pPr>
            <w:r>
              <w:rPr>
                <w:rFonts w:hint="eastAsia"/>
                <w:sz w:val="20"/>
              </w:rPr>
              <w:t>台上机械 PLC 系统柜</w:t>
            </w:r>
          </w:p>
        </w:tc>
        <w:tc>
          <w:tcPr>
            <w:tcW w:w="5490" w:type="dxa"/>
          </w:tcPr>
          <w:p>
            <w:pPr>
              <w:pStyle w:val="23"/>
              <w:spacing w:before="10"/>
              <w:ind w:left="10"/>
              <w:rPr>
                <w:sz w:val="20"/>
              </w:rPr>
            </w:pPr>
            <w:r>
              <w:rPr>
                <w:rFonts w:hint="eastAsia"/>
                <w:sz w:val="20"/>
              </w:rPr>
              <w:t>内置：可编程控制器（PLC）；工业以太网交换机；</w:t>
            </w:r>
          </w:p>
          <w:p>
            <w:pPr>
              <w:pStyle w:val="23"/>
              <w:spacing w:before="3" w:line="242" w:lineRule="auto"/>
              <w:ind w:left="10" w:right="171"/>
              <w:rPr>
                <w:sz w:val="20"/>
              </w:rPr>
            </w:pPr>
            <w:r>
              <w:rPr>
                <w:rFonts w:hint="eastAsia"/>
                <w:w w:val="95"/>
                <w:sz w:val="20"/>
              </w:rPr>
              <w:t xml:space="preserve">紧急安全回路；可编程控制器（PLC）作为中央控制器通过冗 </w:t>
            </w:r>
            <w:r>
              <w:rPr>
                <w:rFonts w:hint="eastAsia"/>
                <w:sz w:val="20"/>
              </w:rPr>
              <w:t>余现场总线与现场驱动柜连接，实现对设备的安全、实时控制。通过高速工业以太网与控制台连接，完成数据处理。</w:t>
            </w:r>
          </w:p>
          <w:p>
            <w:pPr>
              <w:pStyle w:val="23"/>
              <w:spacing w:before="1" w:line="244" w:lineRule="auto"/>
              <w:ind w:left="10" w:right="68"/>
              <w:jc w:val="both"/>
              <w:rPr>
                <w:sz w:val="20"/>
              </w:rPr>
            </w:pPr>
            <w:r>
              <w:rPr>
                <w:rFonts w:hint="eastAsia"/>
                <w:w w:val="95"/>
                <w:sz w:val="20"/>
              </w:rPr>
              <w:t xml:space="preserve">紧急安全回路采用冗余控制，保证紧急情况下设备可快速、安 全停止运行。可通过控制台监控每个紧急停止按钮点的当前状 </w:t>
            </w:r>
            <w:r>
              <w:rPr>
                <w:rFonts w:hint="eastAsia"/>
                <w:sz w:val="20"/>
              </w:rPr>
              <w:t>态，以便于快速查找被按下的紧急停止按钮位置。</w:t>
            </w:r>
          </w:p>
        </w:tc>
        <w:tc>
          <w:tcPr>
            <w:tcW w:w="645" w:type="dxa"/>
            <w:vAlign w:val="center"/>
          </w:tcPr>
          <w:p>
            <w:pPr>
              <w:pStyle w:val="23"/>
              <w:jc w:val="center"/>
              <w:rPr>
                <w:sz w:val="20"/>
              </w:rPr>
            </w:pPr>
            <w:r>
              <w:rPr>
                <w:rFonts w:hint="eastAsia"/>
                <w:w w:val="99"/>
                <w:sz w:val="20"/>
              </w:rPr>
              <w:t>1</w:t>
            </w:r>
          </w:p>
        </w:tc>
        <w:tc>
          <w:tcPr>
            <w:tcW w:w="570" w:type="dxa"/>
            <w:vAlign w:val="center"/>
          </w:tcPr>
          <w:p>
            <w:pPr>
              <w:pStyle w:val="23"/>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585" w:type="dxa"/>
            <w:vAlign w:val="center"/>
          </w:tcPr>
          <w:p>
            <w:pPr>
              <w:pStyle w:val="23"/>
              <w:spacing w:before="133"/>
              <w:ind w:left="71" w:right="62"/>
              <w:jc w:val="center"/>
              <w:rPr>
                <w:sz w:val="20"/>
              </w:rPr>
            </w:pPr>
            <w:r>
              <w:rPr>
                <w:rFonts w:hint="eastAsia"/>
                <w:sz w:val="20"/>
              </w:rPr>
              <w:t>2.4</w:t>
            </w:r>
          </w:p>
        </w:tc>
        <w:tc>
          <w:tcPr>
            <w:tcW w:w="2550" w:type="dxa"/>
            <w:vAlign w:val="center"/>
          </w:tcPr>
          <w:p>
            <w:pPr>
              <w:pStyle w:val="23"/>
              <w:spacing w:before="133"/>
              <w:ind w:left="8"/>
              <w:jc w:val="center"/>
              <w:rPr>
                <w:sz w:val="20"/>
              </w:rPr>
            </w:pPr>
            <w:r>
              <w:rPr>
                <w:rFonts w:hint="eastAsia"/>
                <w:sz w:val="20"/>
              </w:rPr>
              <w:t>舞台机械配电柜</w:t>
            </w:r>
          </w:p>
        </w:tc>
        <w:tc>
          <w:tcPr>
            <w:tcW w:w="5490" w:type="dxa"/>
          </w:tcPr>
          <w:p>
            <w:pPr>
              <w:pStyle w:val="23"/>
              <w:spacing w:before="133"/>
              <w:ind w:left="10"/>
              <w:rPr>
                <w:sz w:val="20"/>
              </w:rPr>
            </w:pPr>
            <w:r>
              <w:rPr>
                <w:rFonts w:hint="eastAsia"/>
                <w:sz w:val="20"/>
              </w:rPr>
              <w:t>电源柜主要为系统中各部件供电。</w:t>
            </w:r>
          </w:p>
        </w:tc>
        <w:tc>
          <w:tcPr>
            <w:tcW w:w="645" w:type="dxa"/>
            <w:vAlign w:val="center"/>
          </w:tcPr>
          <w:p>
            <w:pPr>
              <w:pStyle w:val="23"/>
              <w:spacing w:before="133"/>
              <w:ind w:left="5"/>
              <w:jc w:val="center"/>
              <w:rPr>
                <w:sz w:val="20"/>
              </w:rPr>
            </w:pPr>
            <w:r>
              <w:rPr>
                <w:rFonts w:hint="eastAsia"/>
                <w:w w:val="99"/>
                <w:sz w:val="20"/>
              </w:rPr>
              <w:t>1</w:t>
            </w:r>
          </w:p>
        </w:tc>
        <w:tc>
          <w:tcPr>
            <w:tcW w:w="570" w:type="dxa"/>
            <w:vAlign w:val="center"/>
          </w:tcPr>
          <w:p>
            <w:pPr>
              <w:pStyle w:val="23"/>
              <w:spacing w:before="133"/>
              <w:ind w:left="8"/>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trPr>
        <w:tc>
          <w:tcPr>
            <w:tcW w:w="585" w:type="dxa"/>
          </w:tcPr>
          <w:p>
            <w:pPr>
              <w:pStyle w:val="23"/>
              <w:spacing w:before="152"/>
              <w:ind w:right="62"/>
              <w:rPr>
                <w:sz w:val="20"/>
              </w:rPr>
            </w:pPr>
            <w:r>
              <w:rPr>
                <w:rFonts w:hint="eastAsia"/>
                <w:sz w:val="20"/>
              </w:rPr>
              <w:t>2.5</w:t>
            </w:r>
          </w:p>
        </w:tc>
        <w:tc>
          <w:tcPr>
            <w:tcW w:w="2550" w:type="dxa"/>
          </w:tcPr>
          <w:p>
            <w:pPr>
              <w:pStyle w:val="23"/>
              <w:spacing w:before="152"/>
              <w:rPr>
                <w:sz w:val="20"/>
              </w:rPr>
            </w:pPr>
            <w:r>
              <w:rPr>
                <w:rFonts w:hint="eastAsia"/>
                <w:sz w:val="20"/>
              </w:rPr>
              <w:t>变频调速驱动箱</w:t>
            </w:r>
          </w:p>
        </w:tc>
        <w:tc>
          <w:tcPr>
            <w:tcW w:w="5490" w:type="dxa"/>
          </w:tcPr>
          <w:p>
            <w:pPr>
              <w:pStyle w:val="23"/>
              <w:spacing w:before="13" w:line="242" w:lineRule="auto"/>
              <w:ind w:left="10" w:right="1469"/>
              <w:rPr>
                <w:sz w:val="20"/>
              </w:rPr>
            </w:pPr>
            <w:r>
              <w:rPr>
                <w:rFonts w:hint="eastAsia"/>
                <w:sz w:val="20"/>
              </w:rPr>
              <w:t>内置：变频器；制动电阻器；防尘冷却装置； 控制开关；接触器；电源；</w:t>
            </w:r>
          </w:p>
          <w:p>
            <w:pPr>
              <w:pStyle w:val="23"/>
              <w:spacing w:line="244" w:lineRule="auto"/>
              <w:ind w:left="10" w:right="68"/>
              <w:rPr>
                <w:sz w:val="20"/>
              </w:rPr>
            </w:pPr>
            <w:r>
              <w:rPr>
                <w:rFonts w:hint="eastAsia"/>
                <w:w w:val="95"/>
                <w:sz w:val="20"/>
              </w:rPr>
              <w:t xml:space="preserve">变频调速驱动箱与台上变频调速设备集成一体，一对二配置， </w:t>
            </w:r>
            <w:r>
              <w:rPr>
                <w:rFonts w:hint="eastAsia"/>
                <w:sz w:val="20"/>
              </w:rPr>
              <w:t>功率匹配。</w:t>
            </w:r>
          </w:p>
          <w:p>
            <w:pPr>
              <w:pStyle w:val="23"/>
              <w:spacing w:line="242" w:lineRule="auto"/>
              <w:ind w:left="10" w:right="68"/>
              <w:jc w:val="both"/>
              <w:rPr>
                <w:sz w:val="20"/>
              </w:rPr>
            </w:pPr>
            <w:r>
              <w:rPr>
                <w:rFonts w:hint="eastAsia"/>
                <w:w w:val="95"/>
                <w:sz w:val="20"/>
              </w:rPr>
              <w:t xml:space="preserve">变频器可实现速度闭环，提高设备的控制精度及安全性。变频 器可精准的完成位置控制，实现设备的精准定位。同时分散中 央控制器的控制任务，提高系统效率。抱闸控制回路采用冗余 </w:t>
            </w:r>
            <w:r>
              <w:rPr>
                <w:rFonts w:hint="eastAsia"/>
                <w:sz w:val="20"/>
              </w:rPr>
              <w:t>配置，保证设备安全。</w:t>
            </w:r>
          </w:p>
          <w:p>
            <w:pPr>
              <w:pStyle w:val="23"/>
              <w:spacing w:line="242" w:lineRule="auto"/>
              <w:ind w:left="10" w:right="68"/>
              <w:rPr>
                <w:sz w:val="20"/>
              </w:rPr>
            </w:pPr>
            <w:r>
              <w:rPr>
                <w:rFonts w:hint="eastAsia"/>
                <w:w w:val="95"/>
                <w:sz w:val="20"/>
              </w:rPr>
              <w:t xml:space="preserve">驱动柜采用防尘冷却处理，适合恶劣环境运行。控制所有电动 </w:t>
            </w:r>
            <w:r>
              <w:rPr>
                <w:rFonts w:hint="eastAsia"/>
                <w:sz w:val="20"/>
              </w:rPr>
              <w:t>吊杆。</w:t>
            </w:r>
          </w:p>
        </w:tc>
        <w:tc>
          <w:tcPr>
            <w:tcW w:w="645" w:type="dxa"/>
          </w:tcPr>
          <w:p>
            <w:pPr>
              <w:pStyle w:val="23"/>
              <w:spacing w:before="152"/>
              <w:ind w:right="90"/>
              <w:rPr>
                <w:sz w:val="20"/>
              </w:rPr>
            </w:pPr>
            <w:r>
              <w:rPr>
                <w:rFonts w:hint="eastAsia"/>
                <w:sz w:val="20"/>
              </w:rPr>
              <w:t>10</w:t>
            </w:r>
          </w:p>
        </w:tc>
        <w:tc>
          <w:tcPr>
            <w:tcW w:w="570" w:type="dxa"/>
          </w:tcPr>
          <w:p>
            <w:pPr>
              <w:pStyle w:val="23"/>
              <w:spacing w:before="152"/>
              <w:rPr>
                <w:sz w:val="20"/>
              </w:rPr>
            </w:pPr>
          </w:p>
        </w:tc>
      </w:tr>
    </w:tbl>
    <w:p>
      <w:pPr>
        <w:jc w:val="center"/>
        <w:rPr>
          <w:sz w:val="20"/>
        </w:rPr>
        <w:sectPr>
          <w:pgSz w:w="11910" w:h="16840"/>
          <w:pgMar w:top="1420" w:right="920" w:bottom="1040" w:left="920" w:header="0" w:footer="847" w:gutter="0"/>
          <w:cols w:space="720" w:num="1"/>
        </w:sectPr>
      </w:pPr>
    </w:p>
    <w:tbl>
      <w:tblPr>
        <w:tblStyle w:val="1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2550"/>
        <w:gridCol w:w="5490"/>
        <w:gridCol w:w="645"/>
        <w:gridCol w:w="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85" w:type="dxa"/>
            <w:vAlign w:val="center"/>
          </w:tcPr>
          <w:p>
            <w:pPr>
              <w:pStyle w:val="23"/>
              <w:spacing w:before="62"/>
              <w:ind w:left="71" w:right="62"/>
              <w:jc w:val="center"/>
              <w:rPr>
                <w:sz w:val="20"/>
              </w:rPr>
            </w:pPr>
            <w:r>
              <w:rPr>
                <w:rFonts w:hint="eastAsia"/>
                <w:sz w:val="20"/>
              </w:rPr>
              <w:t>2.6</w:t>
            </w:r>
          </w:p>
        </w:tc>
        <w:tc>
          <w:tcPr>
            <w:tcW w:w="2550" w:type="dxa"/>
            <w:vAlign w:val="center"/>
          </w:tcPr>
          <w:p>
            <w:pPr>
              <w:pStyle w:val="23"/>
              <w:spacing w:before="62"/>
              <w:ind w:left="8"/>
              <w:jc w:val="center"/>
              <w:rPr>
                <w:sz w:val="20"/>
              </w:rPr>
            </w:pPr>
            <w:r>
              <w:rPr>
                <w:rFonts w:hint="eastAsia"/>
                <w:sz w:val="20"/>
              </w:rPr>
              <w:t>机械系统管线</w:t>
            </w:r>
          </w:p>
        </w:tc>
        <w:tc>
          <w:tcPr>
            <w:tcW w:w="5490" w:type="dxa"/>
          </w:tcPr>
          <w:p>
            <w:pPr>
              <w:pStyle w:val="23"/>
              <w:spacing w:before="62"/>
              <w:ind w:left="10"/>
              <w:rPr>
                <w:sz w:val="20"/>
              </w:rPr>
            </w:pPr>
            <w:r>
              <w:rPr>
                <w:rFonts w:hint="eastAsia"/>
                <w:sz w:val="20"/>
              </w:rPr>
              <w:t>配套</w:t>
            </w:r>
          </w:p>
        </w:tc>
        <w:tc>
          <w:tcPr>
            <w:tcW w:w="645" w:type="dxa"/>
            <w:vAlign w:val="center"/>
          </w:tcPr>
          <w:p>
            <w:pPr>
              <w:pStyle w:val="23"/>
              <w:spacing w:before="62"/>
              <w:ind w:left="270"/>
              <w:jc w:val="center"/>
              <w:rPr>
                <w:sz w:val="20"/>
              </w:rPr>
            </w:pPr>
            <w:r>
              <w:rPr>
                <w:rFonts w:hint="eastAsia"/>
                <w:w w:val="99"/>
                <w:sz w:val="20"/>
              </w:rPr>
              <w:t>1</w:t>
            </w:r>
          </w:p>
        </w:tc>
        <w:tc>
          <w:tcPr>
            <w:tcW w:w="570" w:type="dxa"/>
            <w:vAlign w:val="center"/>
          </w:tcPr>
          <w:p>
            <w:pPr>
              <w:pStyle w:val="23"/>
              <w:spacing w:before="62"/>
              <w:ind w:left="8"/>
              <w:jc w:val="center"/>
              <w:rPr>
                <w:sz w:val="20"/>
              </w:rPr>
            </w:pPr>
            <w:r>
              <w:rPr>
                <w:rFonts w:hint="eastAsia"/>
                <w:w w:val="99"/>
                <w:sz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85" w:type="dxa"/>
            <w:shd w:val="clear" w:color="auto" w:fill="FFFF00"/>
          </w:tcPr>
          <w:p>
            <w:pPr>
              <w:pStyle w:val="23"/>
              <w:rPr>
                <w:sz w:val="18"/>
              </w:rPr>
            </w:pPr>
          </w:p>
        </w:tc>
        <w:tc>
          <w:tcPr>
            <w:tcW w:w="2550" w:type="dxa"/>
            <w:shd w:val="clear" w:color="auto" w:fill="FFFF00"/>
          </w:tcPr>
          <w:p>
            <w:pPr>
              <w:pStyle w:val="23"/>
              <w:spacing w:before="123"/>
              <w:ind w:left="524"/>
              <w:rPr>
                <w:b/>
                <w:sz w:val="20"/>
              </w:rPr>
            </w:pPr>
            <w:r>
              <w:rPr>
                <w:rFonts w:hint="eastAsia"/>
                <w:b/>
                <w:sz w:val="20"/>
              </w:rPr>
              <w:t>3、台下机械系统</w:t>
            </w:r>
          </w:p>
        </w:tc>
        <w:tc>
          <w:tcPr>
            <w:tcW w:w="5490" w:type="dxa"/>
            <w:shd w:val="clear" w:color="auto" w:fill="FFFF00"/>
          </w:tcPr>
          <w:p>
            <w:pPr>
              <w:pStyle w:val="23"/>
              <w:rPr>
                <w:sz w:val="18"/>
              </w:rPr>
            </w:pPr>
          </w:p>
        </w:tc>
        <w:tc>
          <w:tcPr>
            <w:tcW w:w="645" w:type="dxa"/>
            <w:shd w:val="clear" w:color="auto" w:fill="FFFF00"/>
          </w:tcPr>
          <w:p>
            <w:pPr>
              <w:pStyle w:val="23"/>
              <w:rPr>
                <w:sz w:val="18"/>
              </w:rPr>
            </w:pPr>
          </w:p>
        </w:tc>
        <w:tc>
          <w:tcPr>
            <w:tcW w:w="570" w:type="dxa"/>
            <w:shd w:val="clear" w:color="auto" w:fill="FFFF00"/>
          </w:tcPr>
          <w:p>
            <w:pPr>
              <w:pStyle w:val="23"/>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5" w:type="dxa"/>
            <w:vAlign w:val="center"/>
          </w:tcPr>
          <w:p>
            <w:pPr>
              <w:pStyle w:val="23"/>
              <w:spacing w:before="143"/>
              <w:ind w:right="62"/>
              <w:jc w:val="center"/>
              <w:rPr>
                <w:sz w:val="20"/>
              </w:rPr>
            </w:pPr>
            <w:r>
              <w:rPr>
                <w:rFonts w:hint="eastAsia"/>
                <w:sz w:val="20"/>
              </w:rPr>
              <w:t>3.1</w:t>
            </w:r>
          </w:p>
        </w:tc>
        <w:tc>
          <w:tcPr>
            <w:tcW w:w="2550" w:type="dxa"/>
            <w:vAlign w:val="center"/>
          </w:tcPr>
          <w:p>
            <w:pPr>
              <w:pStyle w:val="23"/>
              <w:spacing w:before="143"/>
              <w:jc w:val="center"/>
              <w:rPr>
                <w:sz w:val="20"/>
              </w:rPr>
            </w:pPr>
            <w:r>
              <w:rPr>
                <w:rFonts w:hint="eastAsia"/>
                <w:sz w:val="20"/>
              </w:rPr>
              <w:t>升降台改造</w:t>
            </w:r>
          </w:p>
        </w:tc>
        <w:tc>
          <w:tcPr>
            <w:tcW w:w="5490" w:type="dxa"/>
          </w:tcPr>
          <w:p>
            <w:pPr>
              <w:pStyle w:val="23"/>
              <w:spacing w:before="11"/>
              <w:ind w:left="10"/>
              <w:rPr>
                <w:sz w:val="20"/>
              </w:rPr>
            </w:pPr>
            <w:r>
              <w:rPr>
                <w:rFonts w:hint="eastAsia"/>
                <w:sz w:val="20"/>
              </w:rPr>
              <w:t>基坑维修加固；</w:t>
            </w:r>
          </w:p>
          <w:p>
            <w:pPr>
              <w:pStyle w:val="23"/>
              <w:spacing w:before="3"/>
              <w:ind w:left="10"/>
              <w:rPr>
                <w:sz w:val="20"/>
              </w:rPr>
            </w:pPr>
            <w:r>
              <w:rPr>
                <w:rFonts w:hint="eastAsia"/>
                <w:sz w:val="20"/>
              </w:rPr>
              <w:t>对原升降台做硬支撑，满足升降台静荷载要求：4KN/㎡；</w:t>
            </w:r>
          </w:p>
          <w:p>
            <w:pPr>
              <w:pStyle w:val="23"/>
              <w:spacing w:before="3" w:line="244" w:lineRule="auto"/>
              <w:ind w:left="10" w:right="68"/>
              <w:rPr>
                <w:sz w:val="20"/>
              </w:rPr>
            </w:pPr>
            <w:r>
              <w:rPr>
                <w:rFonts w:hint="eastAsia"/>
                <w:w w:val="95"/>
                <w:sz w:val="20"/>
              </w:rPr>
              <w:t xml:space="preserve">钢结构现场制作；并对基坑制作斜坡可以运输道具；拆除原有 </w:t>
            </w:r>
            <w:r>
              <w:rPr>
                <w:rFonts w:hint="eastAsia"/>
                <w:sz w:val="20"/>
              </w:rPr>
              <w:t>的驱动与传动设备。面积约：70</w:t>
            </w:r>
            <w:r>
              <w:rPr>
                <w:rFonts w:hint="eastAsia"/>
                <w:spacing w:val="-14"/>
                <w:sz w:val="20"/>
              </w:rPr>
              <w:t xml:space="preserve"> 平方。</w:t>
            </w:r>
          </w:p>
        </w:tc>
        <w:tc>
          <w:tcPr>
            <w:tcW w:w="645" w:type="dxa"/>
            <w:vAlign w:val="center"/>
          </w:tcPr>
          <w:p>
            <w:pPr>
              <w:pStyle w:val="23"/>
              <w:spacing w:before="143"/>
              <w:jc w:val="center"/>
              <w:rPr>
                <w:sz w:val="20"/>
              </w:rPr>
            </w:pPr>
            <w:r>
              <w:rPr>
                <w:rFonts w:hint="eastAsia"/>
                <w:w w:val="99"/>
                <w:sz w:val="20"/>
              </w:rPr>
              <w:t>1</w:t>
            </w:r>
          </w:p>
        </w:tc>
        <w:tc>
          <w:tcPr>
            <w:tcW w:w="570" w:type="dxa"/>
            <w:vAlign w:val="center"/>
          </w:tcPr>
          <w:p>
            <w:pPr>
              <w:pStyle w:val="23"/>
              <w:spacing w:before="143"/>
              <w:jc w:val="center"/>
              <w:rPr>
                <w:sz w:val="20"/>
              </w:rPr>
            </w:pPr>
            <w:r>
              <w:rPr>
                <w:rFonts w:hint="eastAsia"/>
                <w:w w:val="99"/>
                <w:sz w:val="20"/>
              </w:rPr>
              <w:t>项</w:t>
            </w:r>
          </w:p>
        </w:tc>
      </w:tr>
    </w:tbl>
    <w:p>
      <w:pPr>
        <w:jc w:val="center"/>
        <w:rPr>
          <w:sz w:val="20"/>
        </w:rPr>
        <w:sectPr>
          <w:pgSz w:w="11910" w:h="16840"/>
          <w:pgMar w:top="1420" w:right="920" w:bottom="1040" w:left="920" w:header="0" w:footer="847" w:gutter="0"/>
          <w:cols w:space="720" w:num="1"/>
        </w:sectPr>
      </w:pPr>
    </w:p>
    <w:p>
      <w:pPr>
        <w:pStyle w:val="5"/>
        <w:ind w:left="2994"/>
        <w:rPr>
          <w:sz w:val="28"/>
          <w:szCs w:val="28"/>
        </w:rPr>
      </w:pPr>
      <w:bookmarkStart w:id="82" w:name="_bookmark4"/>
      <w:bookmarkEnd w:id="82"/>
      <w:bookmarkStart w:id="83" w:name="3.2、舞台灯光系统改造配置清单"/>
      <w:bookmarkEnd w:id="83"/>
      <w:r>
        <w:rPr>
          <w:sz w:val="28"/>
          <w:szCs w:val="28"/>
        </w:rPr>
        <w:t>2.3.2</w:t>
      </w:r>
      <w:r>
        <w:rPr>
          <w:rFonts w:hint="eastAsia"/>
          <w:sz w:val="28"/>
          <w:szCs w:val="28"/>
        </w:rPr>
        <w:t>、舞台灯光系统改造配置清单</w:t>
      </w:r>
    </w:p>
    <w:p>
      <w:pPr>
        <w:rPr>
          <w:b/>
          <w:sz w:val="20"/>
          <w:szCs w:val="24"/>
        </w:rPr>
      </w:pPr>
    </w:p>
    <w:p>
      <w:pPr>
        <w:rPr>
          <w:b/>
          <w:sz w:val="20"/>
          <w:szCs w:val="24"/>
        </w:rPr>
      </w:pPr>
    </w:p>
    <w:p>
      <w:pPr>
        <w:spacing w:before="10"/>
        <w:rPr>
          <w:b/>
          <w:sz w:val="10"/>
          <w:szCs w:val="24"/>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1780"/>
        <w:gridCol w:w="5355"/>
        <w:gridCol w:w="555"/>
        <w:gridCol w:w="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5" w:type="dxa"/>
          </w:tcPr>
          <w:p>
            <w:pPr>
              <w:pStyle w:val="23"/>
              <w:spacing w:before="32"/>
              <w:ind w:left="55" w:right="48"/>
              <w:jc w:val="center"/>
              <w:rPr>
                <w:sz w:val="20"/>
              </w:rPr>
            </w:pPr>
            <w:r>
              <w:rPr>
                <w:rFonts w:hint="eastAsia"/>
                <w:sz w:val="20"/>
              </w:rPr>
              <w:t>序号</w:t>
            </w:r>
          </w:p>
        </w:tc>
        <w:tc>
          <w:tcPr>
            <w:tcW w:w="1780" w:type="dxa"/>
          </w:tcPr>
          <w:p>
            <w:pPr>
              <w:pStyle w:val="23"/>
              <w:spacing w:before="32"/>
              <w:ind w:left="168" w:right="159"/>
              <w:jc w:val="center"/>
              <w:rPr>
                <w:sz w:val="20"/>
              </w:rPr>
            </w:pPr>
            <w:r>
              <w:rPr>
                <w:rFonts w:hint="eastAsia"/>
                <w:sz w:val="20"/>
              </w:rPr>
              <w:t>名称</w:t>
            </w:r>
          </w:p>
        </w:tc>
        <w:tc>
          <w:tcPr>
            <w:tcW w:w="5355" w:type="dxa"/>
          </w:tcPr>
          <w:p>
            <w:pPr>
              <w:pStyle w:val="23"/>
              <w:spacing w:before="32"/>
              <w:ind w:left="2255" w:right="2250"/>
              <w:jc w:val="center"/>
              <w:rPr>
                <w:sz w:val="20"/>
              </w:rPr>
            </w:pPr>
            <w:r>
              <w:rPr>
                <w:rFonts w:hint="eastAsia"/>
                <w:sz w:val="20"/>
              </w:rPr>
              <w:t>技术参数</w:t>
            </w:r>
          </w:p>
        </w:tc>
        <w:tc>
          <w:tcPr>
            <w:tcW w:w="555" w:type="dxa"/>
          </w:tcPr>
          <w:p>
            <w:pPr>
              <w:pStyle w:val="23"/>
              <w:spacing w:before="32"/>
              <w:ind w:left="55" w:right="49"/>
              <w:jc w:val="center"/>
              <w:rPr>
                <w:sz w:val="20"/>
              </w:rPr>
            </w:pPr>
            <w:r>
              <w:rPr>
                <w:rFonts w:hint="eastAsia"/>
                <w:sz w:val="20"/>
              </w:rPr>
              <w:t>数量</w:t>
            </w:r>
          </w:p>
        </w:tc>
        <w:tc>
          <w:tcPr>
            <w:tcW w:w="555" w:type="dxa"/>
          </w:tcPr>
          <w:p>
            <w:pPr>
              <w:pStyle w:val="23"/>
              <w:spacing w:before="32"/>
              <w:ind w:left="54" w:right="49"/>
              <w:jc w:val="center"/>
              <w:rPr>
                <w:sz w:val="20"/>
              </w:rPr>
            </w:pPr>
            <w:r>
              <w:rPr>
                <w:rFonts w:hint="eastAsia"/>
                <w:sz w:val="20"/>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555" w:type="dxa"/>
          </w:tcPr>
          <w:p>
            <w:pPr>
              <w:pStyle w:val="23"/>
              <w:spacing w:before="1"/>
              <w:rPr>
                <w:b/>
                <w:sz w:val="21"/>
              </w:rPr>
            </w:pPr>
          </w:p>
          <w:p>
            <w:pPr>
              <w:pStyle w:val="23"/>
              <w:ind w:left="6"/>
              <w:jc w:val="center"/>
              <w:rPr>
                <w:sz w:val="20"/>
              </w:rPr>
            </w:pPr>
            <w:r>
              <w:rPr>
                <w:rFonts w:hint="eastAsia"/>
                <w:w w:val="99"/>
                <w:sz w:val="20"/>
              </w:rPr>
              <w:t>1</w:t>
            </w:r>
          </w:p>
        </w:tc>
        <w:tc>
          <w:tcPr>
            <w:tcW w:w="1780" w:type="dxa"/>
          </w:tcPr>
          <w:p>
            <w:pPr>
              <w:pStyle w:val="23"/>
              <w:spacing w:before="140"/>
              <w:ind w:left="168" w:right="161"/>
              <w:jc w:val="center"/>
              <w:rPr>
                <w:sz w:val="20"/>
              </w:rPr>
            </w:pPr>
            <w:r>
              <w:rPr>
                <w:rFonts w:hint="eastAsia"/>
                <w:sz w:val="20"/>
              </w:rPr>
              <w:t>顶光系统</w:t>
            </w:r>
          </w:p>
          <w:p>
            <w:pPr>
              <w:pStyle w:val="23"/>
              <w:spacing w:before="3"/>
              <w:ind w:left="168" w:right="161"/>
              <w:jc w:val="center"/>
              <w:rPr>
                <w:sz w:val="20"/>
              </w:rPr>
            </w:pPr>
            <w:r>
              <w:rPr>
                <w:rFonts w:hint="eastAsia"/>
                <w:sz w:val="20"/>
              </w:rPr>
              <w:t>（电源与信号）</w:t>
            </w:r>
          </w:p>
        </w:tc>
        <w:tc>
          <w:tcPr>
            <w:tcW w:w="5355" w:type="dxa"/>
          </w:tcPr>
          <w:p>
            <w:pPr>
              <w:pStyle w:val="23"/>
              <w:spacing w:before="11"/>
              <w:ind w:left="9"/>
              <w:rPr>
                <w:sz w:val="20"/>
              </w:rPr>
            </w:pPr>
            <w:r>
              <w:rPr>
                <w:rFonts w:hint="eastAsia"/>
                <w:sz w:val="20"/>
              </w:rPr>
              <w:t>满足控制室硅房至吊杆杆体灯光系统：</w:t>
            </w:r>
          </w:p>
          <w:p>
            <w:pPr>
              <w:pStyle w:val="23"/>
              <w:spacing w:before="3" w:line="242" w:lineRule="auto"/>
              <w:ind w:left="9"/>
              <w:rPr>
                <w:sz w:val="20"/>
              </w:rPr>
            </w:pPr>
            <w:r>
              <w:rPr>
                <w:rFonts w:hint="eastAsia"/>
                <w:spacing w:val="-6"/>
                <w:sz w:val="20"/>
              </w:rPr>
              <w:t xml:space="preserve">顶光吊杆杆体上安装 </w:t>
            </w:r>
            <w:r>
              <w:rPr>
                <w:rFonts w:hint="eastAsia"/>
                <w:sz w:val="20"/>
              </w:rPr>
              <w:t>16A</w:t>
            </w:r>
            <w:r>
              <w:rPr>
                <w:rFonts w:hint="eastAsia"/>
                <w:spacing w:val="-10"/>
                <w:sz w:val="20"/>
              </w:rPr>
              <w:t xml:space="preserve"> 防水插座：</w:t>
            </w:r>
            <w:r>
              <w:rPr>
                <w:rFonts w:hint="eastAsia"/>
                <w:sz w:val="20"/>
              </w:rPr>
              <w:t>12</w:t>
            </w:r>
            <w:r>
              <w:rPr>
                <w:rFonts w:hint="eastAsia"/>
                <w:spacing w:val="-10"/>
                <w:sz w:val="20"/>
              </w:rPr>
              <w:t xml:space="preserve"> 位；功率：</w:t>
            </w:r>
            <w:r>
              <w:rPr>
                <w:rFonts w:hint="eastAsia"/>
                <w:sz w:val="20"/>
              </w:rPr>
              <w:t>3KW； DMX512</w:t>
            </w:r>
            <w:r>
              <w:rPr>
                <w:rFonts w:hint="eastAsia"/>
                <w:spacing w:val="-18"/>
                <w:sz w:val="20"/>
              </w:rPr>
              <w:t xml:space="preserve"> 信号</w:t>
            </w:r>
            <w:r>
              <w:rPr>
                <w:rFonts w:hint="eastAsia"/>
                <w:sz w:val="20"/>
              </w:rPr>
              <w:t>（三芯）：2</w:t>
            </w:r>
            <w:r>
              <w:rPr>
                <w:rFonts w:hint="eastAsia"/>
                <w:spacing w:val="-8"/>
                <w:sz w:val="20"/>
              </w:rPr>
              <w:t xml:space="preserve"> 组；含调光硅改造为直通硅；</w:t>
            </w:r>
          </w:p>
        </w:tc>
        <w:tc>
          <w:tcPr>
            <w:tcW w:w="555" w:type="dxa"/>
          </w:tcPr>
          <w:p>
            <w:pPr>
              <w:pStyle w:val="23"/>
              <w:spacing w:before="1"/>
              <w:rPr>
                <w:b/>
                <w:sz w:val="21"/>
              </w:rPr>
            </w:pPr>
          </w:p>
          <w:p>
            <w:pPr>
              <w:pStyle w:val="23"/>
              <w:ind w:left="55" w:right="45"/>
              <w:jc w:val="center"/>
              <w:rPr>
                <w:sz w:val="20"/>
              </w:rPr>
            </w:pPr>
            <w:r>
              <w:rPr>
                <w:rFonts w:hint="eastAsia"/>
                <w:sz w:val="20"/>
              </w:rPr>
              <w:t>13</w:t>
            </w:r>
          </w:p>
        </w:tc>
        <w:tc>
          <w:tcPr>
            <w:tcW w:w="555" w:type="dxa"/>
          </w:tcPr>
          <w:p>
            <w:pPr>
              <w:pStyle w:val="23"/>
              <w:spacing w:before="1"/>
              <w:rPr>
                <w:b/>
                <w:sz w:val="21"/>
              </w:rPr>
            </w:pPr>
          </w:p>
          <w:p>
            <w:pPr>
              <w:pStyle w:val="23"/>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555" w:type="dxa"/>
          </w:tcPr>
          <w:p>
            <w:pPr>
              <w:pStyle w:val="23"/>
              <w:spacing w:before="1"/>
              <w:rPr>
                <w:b/>
                <w:sz w:val="21"/>
              </w:rPr>
            </w:pPr>
          </w:p>
          <w:p>
            <w:pPr>
              <w:pStyle w:val="23"/>
              <w:ind w:left="6"/>
              <w:jc w:val="center"/>
              <w:rPr>
                <w:sz w:val="20"/>
              </w:rPr>
            </w:pPr>
            <w:r>
              <w:rPr>
                <w:rFonts w:hint="eastAsia"/>
                <w:w w:val="99"/>
                <w:sz w:val="20"/>
              </w:rPr>
              <w:t>2</w:t>
            </w:r>
          </w:p>
        </w:tc>
        <w:tc>
          <w:tcPr>
            <w:tcW w:w="1780" w:type="dxa"/>
          </w:tcPr>
          <w:p>
            <w:pPr>
              <w:pStyle w:val="23"/>
              <w:spacing w:before="141"/>
              <w:ind w:left="168" w:right="161"/>
              <w:jc w:val="center"/>
              <w:rPr>
                <w:sz w:val="20"/>
              </w:rPr>
            </w:pPr>
            <w:r>
              <w:rPr>
                <w:rFonts w:hint="eastAsia"/>
                <w:sz w:val="20"/>
              </w:rPr>
              <w:t>面光系统</w:t>
            </w:r>
          </w:p>
          <w:p>
            <w:pPr>
              <w:pStyle w:val="23"/>
              <w:ind w:left="168" w:right="161"/>
              <w:jc w:val="center"/>
              <w:rPr>
                <w:sz w:val="20"/>
              </w:rPr>
            </w:pPr>
            <w:r>
              <w:rPr>
                <w:rFonts w:hint="eastAsia"/>
                <w:sz w:val="20"/>
              </w:rPr>
              <w:t>（电源与信号）</w:t>
            </w:r>
          </w:p>
        </w:tc>
        <w:tc>
          <w:tcPr>
            <w:tcW w:w="5355" w:type="dxa"/>
          </w:tcPr>
          <w:p>
            <w:pPr>
              <w:pStyle w:val="23"/>
              <w:spacing w:before="11"/>
              <w:ind w:left="9"/>
              <w:rPr>
                <w:sz w:val="20"/>
              </w:rPr>
            </w:pPr>
            <w:r>
              <w:rPr>
                <w:rFonts w:hint="eastAsia"/>
                <w:sz w:val="20"/>
              </w:rPr>
              <w:t>满足控制室硅房至面光槽灯光系统：</w:t>
            </w:r>
          </w:p>
          <w:p>
            <w:pPr>
              <w:pStyle w:val="23"/>
              <w:spacing w:before="3" w:line="242" w:lineRule="auto"/>
              <w:ind w:left="9" w:right="532"/>
              <w:rPr>
                <w:sz w:val="20"/>
              </w:rPr>
            </w:pPr>
            <w:r>
              <w:rPr>
                <w:rFonts w:hint="eastAsia"/>
                <w:spacing w:val="-8"/>
                <w:sz w:val="20"/>
              </w:rPr>
              <w:t xml:space="preserve">面光槽上安装 </w:t>
            </w:r>
            <w:r>
              <w:rPr>
                <w:rFonts w:hint="eastAsia"/>
                <w:sz w:val="20"/>
              </w:rPr>
              <w:t>16A</w:t>
            </w:r>
            <w:r>
              <w:rPr>
                <w:rFonts w:hint="eastAsia"/>
                <w:spacing w:val="-12"/>
                <w:sz w:val="20"/>
              </w:rPr>
              <w:t xml:space="preserve"> 防水插座</w:t>
            </w:r>
            <w:r>
              <w:rPr>
                <w:rFonts w:hint="eastAsia"/>
                <w:sz w:val="20"/>
              </w:rPr>
              <w:t>：6</w:t>
            </w:r>
            <w:r>
              <w:rPr>
                <w:rFonts w:hint="eastAsia"/>
                <w:spacing w:val="-10"/>
                <w:sz w:val="20"/>
              </w:rPr>
              <w:t xml:space="preserve"> 位；功率：</w:t>
            </w:r>
            <w:r>
              <w:rPr>
                <w:rFonts w:hint="eastAsia"/>
                <w:sz w:val="20"/>
              </w:rPr>
              <w:t>3KW； DMX512</w:t>
            </w:r>
            <w:r>
              <w:rPr>
                <w:rFonts w:hint="eastAsia"/>
                <w:spacing w:val="-19"/>
                <w:sz w:val="20"/>
              </w:rPr>
              <w:t xml:space="preserve"> 信号</w:t>
            </w:r>
            <w:r>
              <w:rPr>
                <w:rFonts w:hint="eastAsia"/>
                <w:sz w:val="20"/>
              </w:rPr>
              <w:t>（三芯）：2</w:t>
            </w:r>
            <w:r>
              <w:rPr>
                <w:rFonts w:hint="eastAsia"/>
                <w:spacing w:val="-8"/>
                <w:sz w:val="20"/>
              </w:rPr>
              <w:t xml:space="preserve"> 组；含调光硅改造为直通硅；</w:t>
            </w:r>
          </w:p>
        </w:tc>
        <w:tc>
          <w:tcPr>
            <w:tcW w:w="555" w:type="dxa"/>
          </w:tcPr>
          <w:p>
            <w:pPr>
              <w:pStyle w:val="23"/>
              <w:spacing w:before="1"/>
              <w:rPr>
                <w:b/>
                <w:sz w:val="21"/>
              </w:rPr>
            </w:pPr>
          </w:p>
          <w:p>
            <w:pPr>
              <w:pStyle w:val="23"/>
              <w:ind w:left="10"/>
              <w:jc w:val="center"/>
              <w:rPr>
                <w:sz w:val="20"/>
              </w:rPr>
            </w:pPr>
            <w:r>
              <w:rPr>
                <w:rFonts w:hint="eastAsia"/>
                <w:w w:val="99"/>
                <w:sz w:val="20"/>
              </w:rPr>
              <w:t>2</w:t>
            </w:r>
          </w:p>
        </w:tc>
        <w:tc>
          <w:tcPr>
            <w:tcW w:w="555" w:type="dxa"/>
          </w:tcPr>
          <w:p>
            <w:pPr>
              <w:pStyle w:val="23"/>
              <w:spacing w:before="1"/>
              <w:rPr>
                <w:b/>
                <w:sz w:val="21"/>
              </w:rPr>
            </w:pPr>
          </w:p>
          <w:p>
            <w:pPr>
              <w:pStyle w:val="23"/>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555" w:type="dxa"/>
          </w:tcPr>
          <w:p>
            <w:pPr>
              <w:pStyle w:val="23"/>
              <w:spacing w:before="2"/>
              <w:rPr>
                <w:b/>
                <w:sz w:val="21"/>
              </w:rPr>
            </w:pPr>
          </w:p>
          <w:p>
            <w:pPr>
              <w:pStyle w:val="23"/>
              <w:ind w:left="6"/>
              <w:jc w:val="center"/>
              <w:rPr>
                <w:sz w:val="20"/>
              </w:rPr>
            </w:pPr>
            <w:r>
              <w:rPr>
                <w:rFonts w:hint="eastAsia"/>
                <w:w w:val="99"/>
                <w:sz w:val="20"/>
              </w:rPr>
              <w:t>3</w:t>
            </w:r>
          </w:p>
        </w:tc>
        <w:tc>
          <w:tcPr>
            <w:tcW w:w="1780" w:type="dxa"/>
          </w:tcPr>
          <w:p>
            <w:pPr>
              <w:pStyle w:val="23"/>
              <w:spacing w:before="139"/>
              <w:ind w:left="168" w:right="161"/>
              <w:jc w:val="center"/>
              <w:rPr>
                <w:sz w:val="20"/>
              </w:rPr>
            </w:pPr>
            <w:r>
              <w:rPr>
                <w:rFonts w:hint="eastAsia"/>
                <w:sz w:val="20"/>
              </w:rPr>
              <w:t>耳光系统</w:t>
            </w:r>
          </w:p>
          <w:p>
            <w:pPr>
              <w:pStyle w:val="23"/>
              <w:spacing w:before="3"/>
              <w:ind w:left="168" w:right="161"/>
              <w:jc w:val="center"/>
              <w:rPr>
                <w:sz w:val="20"/>
              </w:rPr>
            </w:pPr>
            <w:r>
              <w:rPr>
                <w:rFonts w:hint="eastAsia"/>
                <w:sz w:val="20"/>
              </w:rPr>
              <w:t>（电源与信号）</w:t>
            </w:r>
          </w:p>
        </w:tc>
        <w:tc>
          <w:tcPr>
            <w:tcW w:w="5355" w:type="dxa"/>
          </w:tcPr>
          <w:p>
            <w:pPr>
              <w:pStyle w:val="23"/>
              <w:spacing w:before="12"/>
              <w:ind w:left="9"/>
              <w:rPr>
                <w:sz w:val="20"/>
              </w:rPr>
            </w:pPr>
            <w:r>
              <w:rPr>
                <w:rFonts w:hint="eastAsia"/>
                <w:sz w:val="20"/>
              </w:rPr>
              <w:t>满足控制室硅房至耳光槽灯光系统：</w:t>
            </w:r>
          </w:p>
          <w:p>
            <w:pPr>
              <w:pStyle w:val="23"/>
              <w:spacing w:before="3"/>
              <w:ind w:left="9" w:right="532"/>
              <w:rPr>
                <w:sz w:val="20"/>
              </w:rPr>
            </w:pPr>
            <w:r>
              <w:rPr>
                <w:rFonts w:hint="eastAsia"/>
                <w:spacing w:val="-8"/>
                <w:sz w:val="20"/>
              </w:rPr>
              <w:t xml:space="preserve">面光槽上安装 </w:t>
            </w:r>
            <w:r>
              <w:rPr>
                <w:rFonts w:hint="eastAsia"/>
                <w:sz w:val="20"/>
              </w:rPr>
              <w:t>16A</w:t>
            </w:r>
            <w:r>
              <w:rPr>
                <w:rFonts w:hint="eastAsia"/>
                <w:spacing w:val="-12"/>
                <w:sz w:val="20"/>
              </w:rPr>
              <w:t xml:space="preserve"> 防水插座</w:t>
            </w:r>
            <w:r>
              <w:rPr>
                <w:rFonts w:hint="eastAsia"/>
                <w:sz w:val="20"/>
              </w:rPr>
              <w:t>：3</w:t>
            </w:r>
            <w:r>
              <w:rPr>
                <w:rFonts w:hint="eastAsia"/>
                <w:spacing w:val="-10"/>
                <w:sz w:val="20"/>
              </w:rPr>
              <w:t xml:space="preserve"> 位；功率：</w:t>
            </w:r>
            <w:r>
              <w:rPr>
                <w:rFonts w:hint="eastAsia"/>
                <w:sz w:val="20"/>
              </w:rPr>
              <w:t>3KW； DMX512</w:t>
            </w:r>
            <w:r>
              <w:rPr>
                <w:rFonts w:hint="eastAsia"/>
                <w:spacing w:val="-19"/>
                <w:sz w:val="20"/>
              </w:rPr>
              <w:t xml:space="preserve"> 信号</w:t>
            </w:r>
            <w:r>
              <w:rPr>
                <w:rFonts w:hint="eastAsia"/>
                <w:sz w:val="20"/>
              </w:rPr>
              <w:t>（三芯）：1</w:t>
            </w:r>
            <w:r>
              <w:rPr>
                <w:rFonts w:hint="eastAsia"/>
                <w:spacing w:val="-8"/>
                <w:sz w:val="20"/>
              </w:rPr>
              <w:t xml:space="preserve"> 组；含调光硅改造为直通硅；</w:t>
            </w:r>
          </w:p>
        </w:tc>
        <w:tc>
          <w:tcPr>
            <w:tcW w:w="555" w:type="dxa"/>
          </w:tcPr>
          <w:p>
            <w:pPr>
              <w:pStyle w:val="23"/>
              <w:spacing w:before="2"/>
              <w:rPr>
                <w:b/>
                <w:sz w:val="21"/>
              </w:rPr>
            </w:pPr>
          </w:p>
          <w:p>
            <w:pPr>
              <w:pStyle w:val="23"/>
              <w:ind w:left="10"/>
              <w:jc w:val="center"/>
              <w:rPr>
                <w:sz w:val="20"/>
              </w:rPr>
            </w:pPr>
            <w:r>
              <w:rPr>
                <w:rFonts w:hint="eastAsia"/>
                <w:w w:val="99"/>
                <w:sz w:val="20"/>
              </w:rPr>
              <w:t>2</w:t>
            </w:r>
          </w:p>
        </w:tc>
        <w:tc>
          <w:tcPr>
            <w:tcW w:w="555" w:type="dxa"/>
          </w:tcPr>
          <w:p>
            <w:pPr>
              <w:pStyle w:val="23"/>
              <w:spacing w:before="2"/>
              <w:rPr>
                <w:b/>
                <w:sz w:val="21"/>
              </w:rPr>
            </w:pPr>
          </w:p>
          <w:p>
            <w:pPr>
              <w:pStyle w:val="23"/>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555" w:type="dxa"/>
          </w:tcPr>
          <w:p>
            <w:pPr>
              <w:pStyle w:val="23"/>
              <w:rPr>
                <w:b/>
                <w:sz w:val="21"/>
              </w:rPr>
            </w:pPr>
          </w:p>
          <w:p>
            <w:pPr>
              <w:pStyle w:val="23"/>
              <w:ind w:left="6"/>
              <w:jc w:val="center"/>
              <w:rPr>
                <w:sz w:val="20"/>
              </w:rPr>
            </w:pPr>
            <w:r>
              <w:rPr>
                <w:rFonts w:hint="eastAsia"/>
                <w:w w:val="99"/>
                <w:sz w:val="20"/>
              </w:rPr>
              <w:t>4</w:t>
            </w:r>
          </w:p>
        </w:tc>
        <w:tc>
          <w:tcPr>
            <w:tcW w:w="1780" w:type="dxa"/>
          </w:tcPr>
          <w:p>
            <w:pPr>
              <w:pStyle w:val="23"/>
              <w:spacing w:before="139"/>
              <w:ind w:left="168" w:right="161"/>
              <w:jc w:val="center"/>
              <w:rPr>
                <w:sz w:val="20"/>
              </w:rPr>
            </w:pPr>
            <w:r>
              <w:rPr>
                <w:rFonts w:hint="eastAsia"/>
                <w:sz w:val="20"/>
              </w:rPr>
              <w:t>柱光系统</w:t>
            </w:r>
          </w:p>
          <w:p>
            <w:pPr>
              <w:pStyle w:val="23"/>
              <w:spacing w:before="3"/>
              <w:ind w:left="168" w:right="161"/>
              <w:jc w:val="center"/>
              <w:rPr>
                <w:sz w:val="20"/>
              </w:rPr>
            </w:pPr>
            <w:r>
              <w:rPr>
                <w:rFonts w:hint="eastAsia"/>
                <w:sz w:val="20"/>
              </w:rPr>
              <w:t>（电源与信号）</w:t>
            </w:r>
          </w:p>
        </w:tc>
        <w:tc>
          <w:tcPr>
            <w:tcW w:w="5355" w:type="dxa"/>
          </w:tcPr>
          <w:p>
            <w:pPr>
              <w:pStyle w:val="23"/>
              <w:spacing w:before="10"/>
              <w:ind w:left="9"/>
              <w:rPr>
                <w:sz w:val="20"/>
              </w:rPr>
            </w:pPr>
            <w:r>
              <w:rPr>
                <w:rFonts w:hint="eastAsia"/>
                <w:sz w:val="20"/>
              </w:rPr>
              <w:t>满足控制室硅房至柱光架灯光系统：</w:t>
            </w:r>
          </w:p>
          <w:p>
            <w:pPr>
              <w:pStyle w:val="23"/>
              <w:spacing w:before="3" w:line="242" w:lineRule="auto"/>
              <w:ind w:left="9" w:right="532"/>
              <w:rPr>
                <w:sz w:val="20"/>
              </w:rPr>
            </w:pPr>
            <w:r>
              <w:rPr>
                <w:rFonts w:hint="eastAsia"/>
                <w:spacing w:val="-8"/>
                <w:sz w:val="20"/>
              </w:rPr>
              <w:t xml:space="preserve">柱光架上安装 </w:t>
            </w:r>
            <w:r>
              <w:rPr>
                <w:rFonts w:hint="eastAsia"/>
                <w:sz w:val="20"/>
              </w:rPr>
              <w:t>16A</w:t>
            </w:r>
            <w:r>
              <w:rPr>
                <w:rFonts w:hint="eastAsia"/>
                <w:spacing w:val="-12"/>
                <w:sz w:val="20"/>
              </w:rPr>
              <w:t xml:space="preserve"> 防水插座</w:t>
            </w:r>
            <w:r>
              <w:rPr>
                <w:rFonts w:hint="eastAsia"/>
                <w:sz w:val="20"/>
              </w:rPr>
              <w:t>：4</w:t>
            </w:r>
            <w:r>
              <w:rPr>
                <w:rFonts w:hint="eastAsia"/>
                <w:spacing w:val="-10"/>
                <w:sz w:val="20"/>
              </w:rPr>
              <w:t xml:space="preserve"> 位；功率：</w:t>
            </w:r>
            <w:r>
              <w:rPr>
                <w:rFonts w:hint="eastAsia"/>
                <w:sz w:val="20"/>
              </w:rPr>
              <w:t>3KW； DMX512</w:t>
            </w:r>
            <w:r>
              <w:rPr>
                <w:rFonts w:hint="eastAsia"/>
                <w:spacing w:val="-19"/>
                <w:sz w:val="20"/>
              </w:rPr>
              <w:t xml:space="preserve"> 信号</w:t>
            </w:r>
            <w:r>
              <w:rPr>
                <w:rFonts w:hint="eastAsia"/>
                <w:sz w:val="20"/>
              </w:rPr>
              <w:t>（三芯）：1</w:t>
            </w:r>
            <w:r>
              <w:rPr>
                <w:rFonts w:hint="eastAsia"/>
                <w:spacing w:val="-8"/>
                <w:sz w:val="20"/>
              </w:rPr>
              <w:t xml:space="preserve"> 组；含调光硅改造为直通硅；</w:t>
            </w:r>
          </w:p>
        </w:tc>
        <w:tc>
          <w:tcPr>
            <w:tcW w:w="555" w:type="dxa"/>
          </w:tcPr>
          <w:p>
            <w:pPr>
              <w:pStyle w:val="23"/>
              <w:rPr>
                <w:b/>
                <w:sz w:val="21"/>
              </w:rPr>
            </w:pPr>
          </w:p>
          <w:p>
            <w:pPr>
              <w:pStyle w:val="23"/>
              <w:ind w:left="10"/>
              <w:jc w:val="center"/>
              <w:rPr>
                <w:sz w:val="20"/>
              </w:rPr>
            </w:pPr>
            <w:r>
              <w:rPr>
                <w:rFonts w:hint="eastAsia"/>
                <w:w w:val="99"/>
                <w:sz w:val="20"/>
              </w:rPr>
              <w:t>2</w:t>
            </w:r>
          </w:p>
        </w:tc>
        <w:tc>
          <w:tcPr>
            <w:tcW w:w="555" w:type="dxa"/>
          </w:tcPr>
          <w:p>
            <w:pPr>
              <w:pStyle w:val="23"/>
              <w:rPr>
                <w:b/>
                <w:sz w:val="21"/>
              </w:rPr>
            </w:pPr>
          </w:p>
          <w:p>
            <w:pPr>
              <w:pStyle w:val="23"/>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555" w:type="dxa"/>
          </w:tcPr>
          <w:p>
            <w:pPr>
              <w:pStyle w:val="23"/>
              <w:spacing w:before="2"/>
              <w:rPr>
                <w:b/>
                <w:sz w:val="21"/>
              </w:rPr>
            </w:pPr>
          </w:p>
          <w:p>
            <w:pPr>
              <w:pStyle w:val="23"/>
              <w:spacing w:before="1"/>
              <w:ind w:left="6"/>
              <w:jc w:val="center"/>
              <w:rPr>
                <w:sz w:val="20"/>
              </w:rPr>
            </w:pPr>
            <w:r>
              <w:rPr>
                <w:rFonts w:hint="eastAsia"/>
                <w:w w:val="99"/>
                <w:sz w:val="20"/>
              </w:rPr>
              <w:t>5</w:t>
            </w:r>
          </w:p>
        </w:tc>
        <w:tc>
          <w:tcPr>
            <w:tcW w:w="1780" w:type="dxa"/>
          </w:tcPr>
          <w:p>
            <w:pPr>
              <w:pStyle w:val="23"/>
              <w:spacing w:before="140"/>
              <w:ind w:left="168" w:right="161"/>
              <w:jc w:val="center"/>
              <w:rPr>
                <w:sz w:val="20"/>
              </w:rPr>
            </w:pPr>
            <w:r>
              <w:rPr>
                <w:rFonts w:hint="eastAsia"/>
                <w:sz w:val="20"/>
              </w:rPr>
              <w:t>侧光系统</w:t>
            </w:r>
          </w:p>
          <w:p>
            <w:pPr>
              <w:pStyle w:val="23"/>
              <w:spacing w:before="3"/>
              <w:ind w:left="168" w:right="161"/>
              <w:jc w:val="center"/>
              <w:rPr>
                <w:sz w:val="20"/>
              </w:rPr>
            </w:pPr>
            <w:r>
              <w:rPr>
                <w:rFonts w:hint="eastAsia"/>
                <w:sz w:val="20"/>
              </w:rPr>
              <w:t>（电源与信号）</w:t>
            </w:r>
          </w:p>
        </w:tc>
        <w:tc>
          <w:tcPr>
            <w:tcW w:w="5355" w:type="dxa"/>
          </w:tcPr>
          <w:p>
            <w:pPr>
              <w:pStyle w:val="23"/>
              <w:spacing w:before="12"/>
              <w:ind w:left="9"/>
              <w:rPr>
                <w:sz w:val="20"/>
              </w:rPr>
            </w:pPr>
            <w:r>
              <w:rPr>
                <w:rFonts w:hint="eastAsia"/>
                <w:sz w:val="20"/>
              </w:rPr>
              <w:t>满足控制室硅房至侧光架灯光系统：</w:t>
            </w:r>
          </w:p>
          <w:p>
            <w:pPr>
              <w:pStyle w:val="23"/>
              <w:spacing w:before="3" w:line="242" w:lineRule="auto"/>
              <w:ind w:left="9" w:right="532"/>
              <w:rPr>
                <w:sz w:val="20"/>
              </w:rPr>
            </w:pPr>
            <w:r>
              <w:rPr>
                <w:rFonts w:hint="eastAsia"/>
                <w:spacing w:val="-8"/>
                <w:sz w:val="20"/>
              </w:rPr>
              <w:t xml:space="preserve">侧光架上安装 </w:t>
            </w:r>
            <w:r>
              <w:rPr>
                <w:rFonts w:hint="eastAsia"/>
                <w:sz w:val="20"/>
              </w:rPr>
              <w:t>16A</w:t>
            </w:r>
            <w:r>
              <w:rPr>
                <w:rFonts w:hint="eastAsia"/>
                <w:spacing w:val="-12"/>
                <w:sz w:val="20"/>
              </w:rPr>
              <w:t xml:space="preserve"> 防水插座</w:t>
            </w:r>
            <w:r>
              <w:rPr>
                <w:rFonts w:hint="eastAsia"/>
                <w:sz w:val="20"/>
              </w:rPr>
              <w:t>：9</w:t>
            </w:r>
            <w:r>
              <w:rPr>
                <w:rFonts w:hint="eastAsia"/>
                <w:spacing w:val="-10"/>
                <w:sz w:val="20"/>
              </w:rPr>
              <w:t xml:space="preserve"> 位；功率：</w:t>
            </w:r>
            <w:r>
              <w:rPr>
                <w:rFonts w:hint="eastAsia"/>
                <w:sz w:val="20"/>
              </w:rPr>
              <w:t>3KW； DMX512</w:t>
            </w:r>
            <w:r>
              <w:rPr>
                <w:rFonts w:hint="eastAsia"/>
                <w:spacing w:val="-19"/>
                <w:sz w:val="20"/>
              </w:rPr>
              <w:t xml:space="preserve"> 信号</w:t>
            </w:r>
            <w:r>
              <w:rPr>
                <w:rFonts w:hint="eastAsia"/>
                <w:sz w:val="20"/>
              </w:rPr>
              <w:t>（三芯）：1</w:t>
            </w:r>
            <w:r>
              <w:rPr>
                <w:rFonts w:hint="eastAsia"/>
                <w:spacing w:val="-8"/>
                <w:sz w:val="20"/>
              </w:rPr>
              <w:t xml:space="preserve"> 组；含调光硅改造为直通硅；</w:t>
            </w:r>
          </w:p>
        </w:tc>
        <w:tc>
          <w:tcPr>
            <w:tcW w:w="555" w:type="dxa"/>
          </w:tcPr>
          <w:p>
            <w:pPr>
              <w:pStyle w:val="23"/>
              <w:spacing w:before="2"/>
              <w:rPr>
                <w:b/>
                <w:sz w:val="21"/>
              </w:rPr>
            </w:pPr>
          </w:p>
          <w:p>
            <w:pPr>
              <w:pStyle w:val="23"/>
              <w:spacing w:before="1"/>
              <w:ind w:left="10"/>
              <w:jc w:val="center"/>
              <w:rPr>
                <w:sz w:val="20"/>
              </w:rPr>
            </w:pPr>
            <w:r>
              <w:rPr>
                <w:rFonts w:hint="eastAsia"/>
                <w:w w:val="99"/>
                <w:sz w:val="20"/>
              </w:rPr>
              <w:t>2</w:t>
            </w:r>
          </w:p>
        </w:tc>
        <w:tc>
          <w:tcPr>
            <w:tcW w:w="555" w:type="dxa"/>
          </w:tcPr>
          <w:p>
            <w:pPr>
              <w:pStyle w:val="23"/>
              <w:spacing w:before="2"/>
              <w:rPr>
                <w:b/>
                <w:sz w:val="21"/>
              </w:rPr>
            </w:pPr>
          </w:p>
          <w:p>
            <w:pPr>
              <w:pStyle w:val="23"/>
              <w:spacing w:before="1"/>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555" w:type="dxa"/>
          </w:tcPr>
          <w:p>
            <w:pPr>
              <w:pStyle w:val="23"/>
              <w:rPr>
                <w:b/>
                <w:sz w:val="21"/>
              </w:rPr>
            </w:pPr>
          </w:p>
          <w:p>
            <w:pPr>
              <w:pStyle w:val="23"/>
              <w:spacing w:before="1"/>
              <w:ind w:left="6"/>
              <w:jc w:val="center"/>
              <w:rPr>
                <w:sz w:val="20"/>
              </w:rPr>
            </w:pPr>
            <w:r>
              <w:rPr>
                <w:rFonts w:hint="eastAsia"/>
                <w:w w:val="99"/>
                <w:sz w:val="20"/>
              </w:rPr>
              <w:t>6</w:t>
            </w:r>
          </w:p>
        </w:tc>
        <w:tc>
          <w:tcPr>
            <w:tcW w:w="1780" w:type="dxa"/>
          </w:tcPr>
          <w:p>
            <w:pPr>
              <w:pStyle w:val="23"/>
              <w:spacing w:before="140"/>
              <w:ind w:right="278"/>
              <w:jc w:val="right"/>
              <w:rPr>
                <w:sz w:val="20"/>
              </w:rPr>
            </w:pPr>
            <w:r>
              <w:rPr>
                <w:rFonts w:hint="eastAsia"/>
                <w:w w:val="95"/>
                <w:sz w:val="20"/>
              </w:rPr>
              <w:t>流动灯光系统</w:t>
            </w:r>
          </w:p>
          <w:p>
            <w:pPr>
              <w:pStyle w:val="23"/>
              <w:spacing w:before="3"/>
              <w:ind w:right="179"/>
              <w:jc w:val="right"/>
              <w:rPr>
                <w:sz w:val="20"/>
              </w:rPr>
            </w:pPr>
            <w:r>
              <w:rPr>
                <w:rFonts w:hint="eastAsia"/>
                <w:w w:val="95"/>
                <w:sz w:val="20"/>
              </w:rPr>
              <w:t>（电源与信号）</w:t>
            </w:r>
          </w:p>
        </w:tc>
        <w:tc>
          <w:tcPr>
            <w:tcW w:w="5355" w:type="dxa"/>
          </w:tcPr>
          <w:p>
            <w:pPr>
              <w:pStyle w:val="23"/>
              <w:spacing w:before="13"/>
              <w:ind w:left="9"/>
              <w:rPr>
                <w:sz w:val="20"/>
              </w:rPr>
            </w:pPr>
            <w:r>
              <w:rPr>
                <w:rFonts w:hint="eastAsia"/>
                <w:sz w:val="20"/>
              </w:rPr>
              <w:t>满足控制室硅房至舞台地槽灯光系统：</w:t>
            </w:r>
          </w:p>
          <w:p>
            <w:pPr>
              <w:pStyle w:val="23"/>
              <w:spacing w:line="242" w:lineRule="auto"/>
              <w:ind w:left="9" w:right="532"/>
              <w:rPr>
                <w:sz w:val="20"/>
              </w:rPr>
            </w:pPr>
            <w:r>
              <w:rPr>
                <w:rFonts w:hint="eastAsia"/>
                <w:spacing w:val="-7"/>
                <w:sz w:val="20"/>
              </w:rPr>
              <w:t xml:space="preserve">舞台地槽内安装 </w:t>
            </w:r>
            <w:r>
              <w:rPr>
                <w:rFonts w:hint="eastAsia"/>
                <w:sz w:val="20"/>
              </w:rPr>
              <w:t>16A</w:t>
            </w:r>
            <w:r>
              <w:rPr>
                <w:rFonts w:hint="eastAsia"/>
                <w:spacing w:val="-10"/>
                <w:sz w:val="20"/>
              </w:rPr>
              <w:t xml:space="preserve"> 防水插座：</w:t>
            </w:r>
            <w:r>
              <w:rPr>
                <w:rFonts w:hint="eastAsia"/>
                <w:sz w:val="20"/>
              </w:rPr>
              <w:t>14</w:t>
            </w:r>
            <w:r>
              <w:rPr>
                <w:rFonts w:hint="eastAsia"/>
                <w:spacing w:val="-10"/>
                <w:sz w:val="20"/>
              </w:rPr>
              <w:t xml:space="preserve"> 位；功率：</w:t>
            </w:r>
            <w:r>
              <w:rPr>
                <w:rFonts w:hint="eastAsia"/>
                <w:sz w:val="20"/>
              </w:rPr>
              <w:t>3KW； DMX512</w:t>
            </w:r>
            <w:r>
              <w:rPr>
                <w:rFonts w:hint="eastAsia"/>
                <w:spacing w:val="-19"/>
                <w:sz w:val="20"/>
              </w:rPr>
              <w:t xml:space="preserve"> 信号</w:t>
            </w:r>
            <w:r>
              <w:rPr>
                <w:rFonts w:hint="eastAsia"/>
                <w:sz w:val="20"/>
              </w:rPr>
              <w:t>（三芯）：3</w:t>
            </w:r>
            <w:r>
              <w:rPr>
                <w:rFonts w:hint="eastAsia"/>
                <w:spacing w:val="-8"/>
                <w:sz w:val="20"/>
              </w:rPr>
              <w:t xml:space="preserve"> 组；含调光硅改造为直通硅；</w:t>
            </w:r>
          </w:p>
        </w:tc>
        <w:tc>
          <w:tcPr>
            <w:tcW w:w="555" w:type="dxa"/>
          </w:tcPr>
          <w:p>
            <w:pPr>
              <w:pStyle w:val="23"/>
              <w:rPr>
                <w:b/>
                <w:sz w:val="21"/>
              </w:rPr>
            </w:pPr>
          </w:p>
          <w:p>
            <w:pPr>
              <w:pStyle w:val="23"/>
              <w:spacing w:before="1"/>
              <w:ind w:left="10"/>
              <w:jc w:val="center"/>
              <w:rPr>
                <w:sz w:val="20"/>
              </w:rPr>
            </w:pPr>
            <w:r>
              <w:rPr>
                <w:rFonts w:hint="eastAsia"/>
                <w:w w:val="99"/>
                <w:sz w:val="20"/>
              </w:rPr>
              <w:t>1</w:t>
            </w:r>
          </w:p>
        </w:tc>
        <w:tc>
          <w:tcPr>
            <w:tcW w:w="555" w:type="dxa"/>
          </w:tcPr>
          <w:p>
            <w:pPr>
              <w:pStyle w:val="23"/>
              <w:rPr>
                <w:b/>
                <w:sz w:val="21"/>
              </w:rPr>
            </w:pPr>
          </w:p>
          <w:p>
            <w:pPr>
              <w:pStyle w:val="23"/>
              <w:spacing w:before="1"/>
              <w:ind w:left="7"/>
              <w:jc w:val="center"/>
              <w:rPr>
                <w:sz w:val="20"/>
              </w:rPr>
            </w:pPr>
            <w:r>
              <w:rPr>
                <w:rFonts w:hint="eastAsia"/>
                <w:w w:val="99"/>
                <w:sz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55" w:type="dxa"/>
          </w:tcPr>
          <w:p>
            <w:pPr>
              <w:pStyle w:val="23"/>
              <w:spacing w:before="141"/>
              <w:ind w:left="6"/>
              <w:jc w:val="center"/>
              <w:rPr>
                <w:sz w:val="20"/>
              </w:rPr>
            </w:pPr>
            <w:r>
              <w:rPr>
                <w:rFonts w:hint="eastAsia"/>
                <w:w w:val="99"/>
                <w:sz w:val="20"/>
              </w:rPr>
              <w:t>7</w:t>
            </w:r>
          </w:p>
        </w:tc>
        <w:tc>
          <w:tcPr>
            <w:tcW w:w="1780" w:type="dxa"/>
          </w:tcPr>
          <w:p>
            <w:pPr>
              <w:pStyle w:val="23"/>
              <w:spacing w:before="141"/>
              <w:ind w:left="168" w:right="161"/>
              <w:jc w:val="center"/>
              <w:rPr>
                <w:sz w:val="20"/>
              </w:rPr>
            </w:pPr>
            <w:r>
              <w:rPr>
                <w:rFonts w:hint="eastAsia"/>
                <w:sz w:val="20"/>
              </w:rPr>
              <w:t>DMX 信号放大器</w:t>
            </w:r>
          </w:p>
        </w:tc>
        <w:tc>
          <w:tcPr>
            <w:tcW w:w="5355" w:type="dxa"/>
          </w:tcPr>
          <w:p>
            <w:pPr>
              <w:pStyle w:val="23"/>
              <w:spacing w:before="11" w:line="242" w:lineRule="auto"/>
              <w:ind w:left="9" w:right="1834"/>
              <w:rPr>
                <w:sz w:val="20"/>
              </w:rPr>
            </w:pPr>
            <w:r>
              <w:rPr>
                <w:rFonts w:hint="eastAsia"/>
                <w:sz w:val="20"/>
              </w:rPr>
              <w:t>1</w:t>
            </w:r>
            <w:r>
              <w:rPr>
                <w:rFonts w:hint="eastAsia"/>
                <w:spacing w:val="-34"/>
                <w:sz w:val="20"/>
              </w:rPr>
              <w:t xml:space="preserve"> 进 </w:t>
            </w:r>
            <w:r>
              <w:rPr>
                <w:rFonts w:hint="eastAsia"/>
                <w:sz w:val="20"/>
              </w:rPr>
              <w:t>8</w:t>
            </w:r>
            <w:r>
              <w:rPr>
                <w:rFonts w:hint="eastAsia"/>
                <w:spacing w:val="-18"/>
                <w:sz w:val="20"/>
              </w:rPr>
              <w:t xml:space="preserve"> 出，</w:t>
            </w:r>
            <w:r>
              <w:rPr>
                <w:rFonts w:hint="eastAsia"/>
                <w:sz w:val="20"/>
              </w:rPr>
              <w:t>8</w:t>
            </w:r>
            <w:r>
              <w:rPr>
                <w:rFonts w:hint="eastAsia"/>
                <w:spacing w:val="-15"/>
                <w:sz w:val="20"/>
              </w:rPr>
              <w:t xml:space="preserve"> 位独立放大的 </w:t>
            </w:r>
            <w:r>
              <w:rPr>
                <w:rFonts w:hint="eastAsia"/>
                <w:sz w:val="20"/>
              </w:rPr>
              <w:t>DMX</w:t>
            </w:r>
            <w:r>
              <w:rPr>
                <w:rFonts w:hint="eastAsia"/>
                <w:spacing w:val="-14"/>
                <w:sz w:val="20"/>
              </w:rPr>
              <w:t xml:space="preserve"> 信号输出</w:t>
            </w:r>
            <w:r>
              <w:rPr>
                <w:rFonts w:hint="eastAsia"/>
                <w:sz w:val="20"/>
              </w:rPr>
              <w:t>机架式安装；</w:t>
            </w:r>
          </w:p>
        </w:tc>
        <w:tc>
          <w:tcPr>
            <w:tcW w:w="555" w:type="dxa"/>
          </w:tcPr>
          <w:p>
            <w:pPr>
              <w:pStyle w:val="23"/>
              <w:spacing w:before="141"/>
              <w:ind w:left="10"/>
              <w:jc w:val="center"/>
              <w:rPr>
                <w:sz w:val="20"/>
              </w:rPr>
            </w:pPr>
            <w:r>
              <w:rPr>
                <w:rFonts w:hint="eastAsia"/>
                <w:w w:val="99"/>
                <w:sz w:val="20"/>
              </w:rPr>
              <w:t>5</w:t>
            </w:r>
          </w:p>
        </w:tc>
        <w:tc>
          <w:tcPr>
            <w:tcW w:w="555" w:type="dxa"/>
          </w:tcPr>
          <w:p>
            <w:pPr>
              <w:pStyle w:val="23"/>
              <w:spacing w:before="141"/>
              <w:ind w:left="7"/>
              <w:jc w:val="center"/>
              <w:rPr>
                <w:sz w:val="20"/>
              </w:rPr>
            </w:pPr>
            <w:r>
              <w:rPr>
                <w:rFonts w:hint="eastAsia"/>
                <w:w w:val="99"/>
                <w:sz w:val="20"/>
              </w:rPr>
              <w:t>套</w:t>
            </w:r>
          </w:p>
        </w:tc>
      </w:tr>
    </w:tbl>
    <w:p>
      <w:pPr>
        <w:jc w:val="both"/>
        <w:rPr>
          <w:sz w:val="24"/>
        </w:rPr>
      </w:pPr>
    </w:p>
    <w:p>
      <w:pPr>
        <w:pStyle w:val="12"/>
        <w:spacing w:before="8"/>
        <w:rPr>
          <w:b/>
          <w:sz w:val="5"/>
        </w:rPr>
      </w:pPr>
    </w:p>
    <w:p>
      <w:pPr>
        <w:pStyle w:val="12"/>
        <w:spacing w:before="4"/>
        <w:rPr>
          <w:b/>
          <w:sz w:val="29"/>
        </w:rPr>
      </w:pPr>
    </w:p>
    <w:p>
      <w:pPr>
        <w:rPr>
          <w:b/>
          <w:sz w:val="24"/>
        </w:rPr>
      </w:pPr>
      <w:bookmarkStart w:id="84" w:name="_Toc31524"/>
      <w:r>
        <w:rPr>
          <w:b/>
          <w:sz w:val="24"/>
        </w:rPr>
        <w:br w:type="page"/>
      </w:r>
    </w:p>
    <w:p>
      <w:pPr>
        <w:pStyle w:val="4"/>
        <w:ind w:firstLine="482"/>
      </w:pPr>
      <w:r>
        <w:rPr>
          <w:rFonts w:hint="eastAsia"/>
        </w:rPr>
        <w:t>三、</w:t>
      </w:r>
      <w:r>
        <w:t>商务要求</w:t>
      </w:r>
    </w:p>
    <w:p>
      <w:pPr>
        <w:pStyle w:val="5"/>
      </w:pPr>
      <w:r>
        <w:t>1.报价要求</w:t>
      </w:r>
      <w:bookmarkEnd w:id="84"/>
    </w:p>
    <w:p>
      <w:pPr>
        <w:pStyle w:val="12"/>
        <w:spacing w:before="5" w:line="364" w:lineRule="auto"/>
        <w:ind w:left="760" w:right="875" w:firstLine="480"/>
      </w:pPr>
      <w:r>
        <w:rPr>
          <w:spacing w:val="-5"/>
        </w:rPr>
        <w:t>投标总报价包括货物出厂价、运至合同指定地点的材料费</w:t>
      </w:r>
      <w:r>
        <w:rPr>
          <w:spacing w:val="-3"/>
        </w:rPr>
        <w:t>（</w:t>
      </w:r>
      <w:r>
        <w:rPr>
          <w:spacing w:val="-6"/>
        </w:rPr>
        <w:t>包含辅助、配套材料</w:t>
      </w:r>
      <w:r>
        <w:rPr>
          <w:spacing w:val="-12"/>
        </w:rPr>
        <w:t>）</w:t>
      </w:r>
      <w:r>
        <w:rPr>
          <w:spacing w:val="-9"/>
        </w:rPr>
        <w:t>、人工费、机械费、试验检测费、包装费、运杂费</w:t>
      </w:r>
      <w:r>
        <w:t>（包括装卸车费</w:t>
      </w:r>
      <w:r>
        <w:rPr>
          <w:spacing w:val="-10"/>
        </w:rPr>
        <w:t>）</w:t>
      </w:r>
      <w:r>
        <w:rPr>
          <w:spacing w:val="-5"/>
        </w:rPr>
        <w:t>、安</w:t>
      </w:r>
      <w:r>
        <w:rPr>
          <w:spacing w:val="-12"/>
        </w:rPr>
        <w:t>装费、水电费</w:t>
      </w:r>
      <w:r>
        <w:rPr>
          <w:spacing w:val="-3"/>
        </w:rPr>
        <w:t>（</w:t>
      </w:r>
      <w:r>
        <w:t>含临电</w:t>
      </w:r>
      <w:r>
        <w:rPr>
          <w:spacing w:val="-27"/>
        </w:rPr>
        <w:t>）</w:t>
      </w:r>
      <w:r>
        <w:rPr>
          <w:spacing w:val="-13"/>
        </w:rPr>
        <w:t>、调试费、培训费、保险费、缺陷修复费、综合管理费、</w:t>
      </w:r>
      <w:r>
        <w:rPr>
          <w:spacing w:val="-10"/>
        </w:rPr>
        <w:t>技术资料费、风险费、利润、各种税费、政策性文件规定费用等一切费用。中标后的总价为一次性不变价，在合同有效期内不作调整。</w:t>
      </w:r>
    </w:p>
    <w:p>
      <w:pPr>
        <w:pStyle w:val="12"/>
        <w:spacing w:line="364" w:lineRule="auto"/>
        <w:ind w:left="760" w:right="943" w:firstLine="420"/>
      </w:pPr>
      <w:r>
        <w:t>伴随服务（费用包含在报价总价内）：全部设备的运输、安装、调试和人员培训、售后服务。</w:t>
      </w:r>
    </w:p>
    <w:p>
      <w:pPr>
        <w:pStyle w:val="5"/>
      </w:pPr>
      <w:r>
        <w:rPr>
          <w:rFonts w:hint="eastAsia"/>
        </w:rPr>
        <w:t>2.</w:t>
      </w:r>
      <w:r>
        <w:t>质量保证：</w:t>
      </w:r>
    </w:p>
    <w:p>
      <w:pPr>
        <w:pStyle w:val="22"/>
        <w:numPr>
          <w:ilvl w:val="1"/>
          <w:numId w:val="69"/>
        </w:numPr>
        <w:tabs>
          <w:tab w:val="left" w:pos="1841"/>
        </w:tabs>
        <w:spacing w:before="156" w:line="364" w:lineRule="auto"/>
        <w:ind w:right="997" w:firstLine="480"/>
        <w:jc w:val="both"/>
        <w:rPr>
          <w:sz w:val="24"/>
        </w:rPr>
      </w:pPr>
      <w:r>
        <w:rPr>
          <w:spacing w:val="-1"/>
          <w:sz w:val="24"/>
        </w:rPr>
        <w:t>投标人应保证提供的货物质量指标达到相应的生产国标准，行业标准</w:t>
      </w:r>
      <w:r>
        <w:rPr>
          <w:spacing w:val="-5"/>
          <w:sz w:val="24"/>
        </w:rPr>
        <w:t>及厂家在本招标文件中提交并确定遵照的有关标准及技术要求。相关货物须经中</w:t>
      </w:r>
      <w:r>
        <w:rPr>
          <w:spacing w:val="-7"/>
          <w:sz w:val="24"/>
        </w:rPr>
        <w:t>国政府批准在中国境内销售，并在中国有关监督管理部门办理注册登记。相关设</w:t>
      </w:r>
      <w:r>
        <w:rPr>
          <w:sz w:val="24"/>
        </w:rPr>
        <w:t>备须适合中国国家标准，或通用国际标准。</w:t>
      </w:r>
    </w:p>
    <w:p>
      <w:pPr>
        <w:pStyle w:val="22"/>
        <w:numPr>
          <w:ilvl w:val="1"/>
          <w:numId w:val="69"/>
        </w:numPr>
        <w:tabs>
          <w:tab w:val="left" w:pos="1841"/>
        </w:tabs>
        <w:spacing w:line="364" w:lineRule="auto"/>
        <w:ind w:right="1000" w:firstLine="480"/>
        <w:rPr>
          <w:sz w:val="24"/>
        </w:rPr>
      </w:pPr>
      <w:r>
        <w:rPr>
          <w:spacing w:val="-1"/>
          <w:sz w:val="24"/>
        </w:rPr>
        <w:t>投标人应保证所供货物是全新的、未使用过的，是目前的型号。并且</w:t>
      </w:r>
      <w:r>
        <w:rPr>
          <w:sz w:val="24"/>
        </w:rPr>
        <w:t>全部货物没有设计、材料或工艺上的缺陷。</w:t>
      </w:r>
    </w:p>
    <w:p>
      <w:pPr>
        <w:pStyle w:val="22"/>
        <w:numPr>
          <w:ilvl w:val="1"/>
          <w:numId w:val="69"/>
        </w:numPr>
        <w:tabs>
          <w:tab w:val="left" w:pos="1841"/>
        </w:tabs>
        <w:spacing w:before="75" w:line="362" w:lineRule="auto"/>
        <w:ind w:right="877" w:firstLine="480"/>
        <w:jc w:val="both"/>
        <w:rPr>
          <w:b/>
          <w:sz w:val="24"/>
        </w:rPr>
      </w:pPr>
      <w:r>
        <w:rPr>
          <w:spacing w:val="-5"/>
          <w:sz w:val="24"/>
        </w:rPr>
        <w:t>投标人保证提供的货物不侵犯任何第三方的专利、商标或版权。否则</w:t>
      </w:r>
      <w:r>
        <w:rPr>
          <w:spacing w:val="-4"/>
          <w:sz w:val="24"/>
        </w:rPr>
        <w:t>，投标人须承担对第三方的专利或版权的侵权责任并承担因此而发生的所有费用</w:t>
      </w:r>
      <w:r>
        <w:rPr>
          <w:spacing w:val="-3"/>
          <w:sz w:val="24"/>
        </w:rPr>
        <w:t>。</w:t>
      </w:r>
    </w:p>
    <w:p>
      <w:pPr>
        <w:pStyle w:val="5"/>
      </w:pPr>
      <w:r>
        <w:t>3.交货要求及交货地点：</w:t>
      </w:r>
    </w:p>
    <w:p>
      <w:pPr>
        <w:pStyle w:val="22"/>
        <w:numPr>
          <w:ilvl w:val="0"/>
          <w:numId w:val="70"/>
        </w:numPr>
        <w:tabs>
          <w:tab w:val="left" w:pos="1841"/>
        </w:tabs>
        <w:spacing w:before="6"/>
        <w:rPr>
          <w:sz w:val="24"/>
        </w:rPr>
      </w:pPr>
      <w:r>
        <w:rPr>
          <w:sz w:val="24"/>
        </w:rPr>
        <w:t>交货地点：采购人指定地点。</w:t>
      </w:r>
    </w:p>
    <w:p>
      <w:pPr>
        <w:pStyle w:val="22"/>
        <w:numPr>
          <w:ilvl w:val="0"/>
          <w:numId w:val="70"/>
        </w:numPr>
        <w:tabs>
          <w:tab w:val="left" w:pos="1841"/>
        </w:tabs>
        <w:spacing w:before="161" w:line="362" w:lineRule="auto"/>
        <w:ind w:left="760" w:right="1000" w:firstLine="480"/>
        <w:rPr>
          <w:sz w:val="24"/>
        </w:rPr>
      </w:pPr>
      <w:r>
        <w:rPr>
          <w:spacing w:val="-1"/>
          <w:sz w:val="24"/>
        </w:rPr>
        <w:t>货物到达采购人指定地点后，采购人有权委托相关质检单位对其进行</w:t>
      </w:r>
      <w:r>
        <w:rPr>
          <w:sz w:val="24"/>
        </w:rPr>
        <w:t>抽样检测，抽样检测费用由中标人承担。</w:t>
      </w:r>
    </w:p>
    <w:p>
      <w:pPr>
        <w:pStyle w:val="22"/>
        <w:numPr>
          <w:ilvl w:val="0"/>
          <w:numId w:val="70"/>
        </w:numPr>
        <w:tabs>
          <w:tab w:val="left" w:pos="1841"/>
        </w:tabs>
        <w:spacing w:before="5" w:line="362" w:lineRule="auto"/>
        <w:ind w:left="760" w:right="1000" w:firstLine="480"/>
        <w:rPr>
          <w:sz w:val="24"/>
        </w:rPr>
      </w:pPr>
      <w:r>
        <w:rPr>
          <w:spacing w:val="-1"/>
          <w:sz w:val="24"/>
        </w:rPr>
        <w:t>中标人必须按项目进度安排计划，派出适当的技术人员到安装现场负</w:t>
      </w:r>
      <w:r>
        <w:rPr>
          <w:sz w:val="24"/>
        </w:rPr>
        <w:t>责免费安装和调试工作。在安装施工期间，严格遵守采购人的有关制度。</w:t>
      </w:r>
    </w:p>
    <w:p>
      <w:pPr>
        <w:pStyle w:val="22"/>
        <w:numPr>
          <w:ilvl w:val="0"/>
          <w:numId w:val="70"/>
        </w:numPr>
        <w:tabs>
          <w:tab w:val="left" w:pos="1841"/>
        </w:tabs>
        <w:spacing w:before="5" w:line="362" w:lineRule="auto"/>
        <w:ind w:left="760" w:right="1000" w:firstLine="480"/>
        <w:rPr>
          <w:sz w:val="24"/>
        </w:rPr>
      </w:pPr>
      <w:r>
        <w:rPr>
          <w:spacing w:val="-1"/>
          <w:sz w:val="24"/>
        </w:rPr>
        <w:t>安装施工期间做到安全文明施工，不损坏采购人的设备设施，否则原</w:t>
      </w:r>
      <w:r>
        <w:rPr>
          <w:sz w:val="24"/>
        </w:rPr>
        <w:t>价赔偿。</w:t>
      </w:r>
    </w:p>
    <w:p>
      <w:pPr>
        <w:pStyle w:val="5"/>
      </w:pPr>
      <w:r>
        <w:rPr>
          <w:rFonts w:hint="eastAsia"/>
        </w:rPr>
        <w:t>4.</w:t>
      </w:r>
      <w:r>
        <w:t>验收要求：</w:t>
      </w:r>
    </w:p>
    <w:p>
      <w:pPr>
        <w:pStyle w:val="22"/>
        <w:numPr>
          <w:ilvl w:val="1"/>
          <w:numId w:val="71"/>
        </w:numPr>
        <w:tabs>
          <w:tab w:val="left" w:pos="1843"/>
        </w:tabs>
        <w:spacing w:before="159" w:line="364" w:lineRule="auto"/>
        <w:ind w:right="997" w:firstLine="480"/>
        <w:rPr>
          <w:sz w:val="24"/>
        </w:rPr>
      </w:pPr>
      <w:r>
        <w:rPr>
          <w:spacing w:val="-1"/>
          <w:sz w:val="24"/>
        </w:rPr>
        <w:t>中标人完成安装调试，采购人试运行正常后，中标人向采购人提交书</w:t>
      </w:r>
      <w:r>
        <w:rPr>
          <w:sz w:val="24"/>
        </w:rPr>
        <w:t>面验收通知，采购人使用单位或货物管理部门组织验收。</w:t>
      </w:r>
    </w:p>
    <w:p>
      <w:pPr>
        <w:pStyle w:val="22"/>
        <w:numPr>
          <w:ilvl w:val="1"/>
          <w:numId w:val="71"/>
        </w:numPr>
        <w:tabs>
          <w:tab w:val="left" w:pos="1843"/>
        </w:tabs>
        <w:spacing w:line="364" w:lineRule="auto"/>
        <w:ind w:right="997" w:firstLine="480"/>
        <w:jc w:val="both"/>
        <w:rPr>
          <w:sz w:val="24"/>
        </w:rPr>
      </w:pPr>
      <w:r>
        <w:rPr>
          <w:spacing w:val="-1"/>
          <w:sz w:val="24"/>
        </w:rPr>
        <w:t>中标人应在验收前，向采购人提供按合同的技术规格、技术规范的要</w:t>
      </w:r>
      <w:r>
        <w:rPr>
          <w:spacing w:val="-7"/>
          <w:sz w:val="24"/>
        </w:rPr>
        <w:t>求进行的测试与验收方案，验收以招投标文件、合同技术规格、产品相应的技术</w:t>
      </w:r>
      <w:r>
        <w:rPr>
          <w:sz w:val="24"/>
        </w:rPr>
        <w:t>说明为标准。</w:t>
      </w:r>
    </w:p>
    <w:p>
      <w:pPr>
        <w:pStyle w:val="22"/>
        <w:numPr>
          <w:ilvl w:val="1"/>
          <w:numId w:val="71"/>
        </w:numPr>
        <w:tabs>
          <w:tab w:val="left" w:pos="1843"/>
        </w:tabs>
        <w:spacing w:line="364" w:lineRule="auto"/>
        <w:ind w:right="997" w:firstLine="480"/>
        <w:jc w:val="both"/>
        <w:rPr>
          <w:sz w:val="24"/>
        </w:rPr>
      </w:pPr>
      <w:r>
        <w:rPr>
          <w:spacing w:val="-4"/>
          <w:sz w:val="24"/>
        </w:rPr>
        <w:t xml:space="preserve">验收未能通过的，中标人负责 </w:t>
      </w:r>
      <w:r>
        <w:rPr>
          <w:sz w:val="24"/>
        </w:rPr>
        <w:t>5</w:t>
      </w:r>
      <w:r>
        <w:rPr>
          <w:spacing w:val="-9"/>
          <w:sz w:val="24"/>
        </w:rPr>
        <w:t xml:space="preserve"> 日内完成整改。若整改后仍未能合格</w:t>
      </w:r>
      <w:r>
        <w:rPr>
          <w:spacing w:val="-11"/>
          <w:sz w:val="24"/>
        </w:rPr>
        <w:t>的，采购人有权单方终止本合同。因中标人整改原因导致逾期完成安装调试验收</w:t>
      </w:r>
      <w:r>
        <w:rPr>
          <w:sz w:val="24"/>
        </w:rPr>
        <w:t>通过的，由中标人承担相应责任。</w:t>
      </w:r>
    </w:p>
    <w:p>
      <w:pPr>
        <w:pStyle w:val="22"/>
        <w:numPr>
          <w:ilvl w:val="1"/>
          <w:numId w:val="71"/>
        </w:numPr>
        <w:tabs>
          <w:tab w:val="left" w:pos="1841"/>
        </w:tabs>
        <w:spacing w:line="364" w:lineRule="auto"/>
        <w:ind w:right="1000" w:firstLine="480"/>
        <w:rPr>
          <w:sz w:val="24"/>
        </w:rPr>
      </w:pPr>
      <w:r>
        <w:rPr>
          <w:spacing w:val="-1"/>
          <w:sz w:val="24"/>
        </w:rPr>
        <w:t>中标人和货物经过双方检验认可后，签署验收报告，产品质保期自验</w:t>
      </w:r>
      <w:r>
        <w:rPr>
          <w:sz w:val="24"/>
        </w:rPr>
        <w:t>收合格之日起算，由中标人提供产品保修文件。</w:t>
      </w:r>
    </w:p>
    <w:p>
      <w:pPr>
        <w:pStyle w:val="22"/>
        <w:numPr>
          <w:ilvl w:val="1"/>
          <w:numId w:val="71"/>
        </w:numPr>
        <w:tabs>
          <w:tab w:val="left" w:pos="1841"/>
        </w:tabs>
        <w:spacing w:line="362" w:lineRule="auto"/>
        <w:ind w:right="1000" w:firstLine="480"/>
        <w:rPr>
          <w:sz w:val="24"/>
        </w:rPr>
      </w:pPr>
      <w:r>
        <w:rPr>
          <w:spacing w:val="-1"/>
          <w:sz w:val="24"/>
        </w:rPr>
        <w:t>中标人必须将货物的整套技术资料包括设备说明书、使用手册及其它</w:t>
      </w:r>
      <w:r>
        <w:rPr>
          <w:sz w:val="24"/>
        </w:rPr>
        <w:t>相关技术资料（应有中文解释）等交给采购人方。</w:t>
      </w:r>
    </w:p>
    <w:p>
      <w:pPr>
        <w:pStyle w:val="22"/>
        <w:numPr>
          <w:ilvl w:val="1"/>
          <w:numId w:val="71"/>
        </w:numPr>
        <w:tabs>
          <w:tab w:val="left" w:pos="1841"/>
        </w:tabs>
        <w:spacing w:before="1" w:line="364" w:lineRule="auto"/>
        <w:ind w:right="997" w:firstLine="480"/>
        <w:jc w:val="both"/>
        <w:rPr>
          <w:sz w:val="24"/>
        </w:rPr>
      </w:pPr>
      <w:r>
        <w:rPr>
          <w:spacing w:val="-3"/>
          <w:sz w:val="24"/>
        </w:rPr>
        <w:t xml:space="preserve">培训：中标人负责免费对每个用户单位至少 </w:t>
      </w:r>
      <w:r>
        <w:rPr>
          <w:sz w:val="24"/>
        </w:rPr>
        <w:t>2</w:t>
      </w:r>
      <w:r>
        <w:rPr>
          <w:spacing w:val="-9"/>
          <w:sz w:val="24"/>
        </w:rPr>
        <w:t xml:space="preserve"> 名人员进行合同货物现</w:t>
      </w:r>
      <w:r>
        <w:rPr>
          <w:spacing w:val="-12"/>
          <w:sz w:val="24"/>
        </w:rPr>
        <w:t>场操作、运行、维护、修理的培训，提供培训方案及必需的培训资料，含完整的</w:t>
      </w:r>
      <w:r>
        <w:rPr>
          <w:sz w:val="24"/>
        </w:rPr>
        <w:t>仪器操作和维护手册等。</w:t>
      </w:r>
    </w:p>
    <w:p>
      <w:pPr>
        <w:pStyle w:val="5"/>
      </w:pPr>
      <w:r>
        <w:rPr>
          <w:rFonts w:hint="eastAsia"/>
        </w:rPr>
        <w:t>5</w:t>
      </w:r>
      <w:r>
        <w:t>.售后服务要求:</w:t>
      </w:r>
    </w:p>
    <w:p>
      <w:pPr>
        <w:pStyle w:val="22"/>
        <w:tabs>
          <w:tab w:val="left" w:pos="1841"/>
        </w:tabs>
        <w:spacing w:before="160"/>
        <w:ind w:left="1240" w:firstLine="0"/>
        <w:rPr>
          <w:sz w:val="24"/>
        </w:rPr>
      </w:pPr>
      <w:r>
        <w:rPr>
          <w:rFonts w:hint="eastAsia"/>
          <w:spacing w:val="-5"/>
          <w:sz w:val="24"/>
          <w:lang w:val="en-US"/>
        </w:rPr>
        <w:t>（1）</w:t>
      </w:r>
      <w:r>
        <w:rPr>
          <w:spacing w:val="-5"/>
          <w:sz w:val="24"/>
        </w:rPr>
        <w:t xml:space="preserve">质保期：所有货物提供至少 </w:t>
      </w:r>
      <w:r>
        <w:rPr>
          <w:sz w:val="24"/>
        </w:rPr>
        <w:t>1</w:t>
      </w:r>
      <w:r>
        <w:rPr>
          <w:spacing w:val="-16"/>
          <w:sz w:val="24"/>
        </w:rPr>
        <w:t xml:space="preserve"> 年保修，质保 </w:t>
      </w:r>
      <w:r>
        <w:rPr>
          <w:sz w:val="24"/>
        </w:rPr>
        <w:t>1</w:t>
      </w:r>
      <w:r>
        <w:rPr>
          <w:spacing w:val="-8"/>
          <w:sz w:val="24"/>
        </w:rPr>
        <w:t xml:space="preserve"> 年内提供免费上门服务</w:t>
      </w:r>
    </w:p>
    <w:p>
      <w:pPr>
        <w:pStyle w:val="12"/>
        <w:spacing w:before="75" w:line="362" w:lineRule="auto"/>
        <w:ind w:left="760" w:right="997"/>
        <w:jc w:val="both"/>
      </w:pPr>
      <w:r>
        <w:t>（</w:t>
      </w:r>
      <w:r>
        <w:rPr>
          <w:spacing w:val="-7"/>
        </w:rPr>
        <w:t>含部件、人力、上门等</w:t>
      </w:r>
      <w:r>
        <w:rPr>
          <w:spacing w:val="-19"/>
        </w:rPr>
        <w:t>）</w:t>
      </w:r>
      <w:r>
        <w:rPr>
          <w:spacing w:val="-7"/>
        </w:rPr>
        <w:t>，质保期自货物验收之日起计算，保修费用已计入总</w:t>
      </w:r>
      <w:r>
        <w:rPr>
          <w:spacing w:val="-8"/>
        </w:rPr>
        <w:t>价，并承诺质保期满后投标人继续提供维修服务，并优惠收费。</w:t>
      </w:r>
      <w:r>
        <w:rPr>
          <w:spacing w:val="-3"/>
        </w:rPr>
        <w:t>（投标人需提供</w:t>
      </w:r>
      <w:r>
        <w:t>质保服务内容细则）</w:t>
      </w:r>
    </w:p>
    <w:p>
      <w:pPr>
        <w:pStyle w:val="22"/>
        <w:tabs>
          <w:tab w:val="left" w:pos="1841"/>
        </w:tabs>
        <w:spacing w:before="6" w:line="364" w:lineRule="auto"/>
        <w:ind w:left="1240" w:right="997" w:firstLine="0"/>
        <w:jc w:val="both"/>
        <w:rPr>
          <w:sz w:val="24"/>
        </w:rPr>
      </w:pPr>
      <w:r>
        <w:rPr>
          <w:rFonts w:hint="eastAsia"/>
          <w:spacing w:val="-5"/>
          <w:sz w:val="24"/>
        </w:rPr>
        <w:t>（</w:t>
      </w:r>
      <w:r>
        <w:rPr>
          <w:rFonts w:hint="eastAsia"/>
          <w:spacing w:val="-5"/>
          <w:sz w:val="24"/>
          <w:lang w:val="en-US"/>
        </w:rPr>
        <w:t>2</w:t>
      </w:r>
      <w:r>
        <w:rPr>
          <w:rFonts w:hint="eastAsia"/>
          <w:spacing w:val="-5"/>
          <w:sz w:val="24"/>
        </w:rPr>
        <w:t>）</w:t>
      </w:r>
      <w:r>
        <w:rPr>
          <w:spacing w:val="-5"/>
          <w:sz w:val="24"/>
        </w:rPr>
        <w:t xml:space="preserve">投标人应提供满足货物 </w:t>
      </w:r>
      <w:r>
        <w:rPr>
          <w:sz w:val="24"/>
        </w:rPr>
        <w:t>1</w:t>
      </w:r>
      <w:r>
        <w:rPr>
          <w:spacing w:val="-8"/>
          <w:sz w:val="24"/>
        </w:rPr>
        <w:t xml:space="preserve"> 年正常使用的备品备件</w:t>
      </w:r>
      <w:r>
        <w:rPr>
          <w:sz w:val="24"/>
        </w:rPr>
        <w:t>（如有的话）</w:t>
      </w:r>
      <w:r>
        <w:rPr>
          <w:spacing w:val="-5"/>
          <w:sz w:val="24"/>
        </w:rPr>
        <w:t>，其费</w:t>
      </w:r>
      <w:r>
        <w:rPr>
          <w:sz w:val="24"/>
        </w:rPr>
        <w:t>用应包括在报价价格之内。</w:t>
      </w:r>
    </w:p>
    <w:p>
      <w:pPr>
        <w:pStyle w:val="22"/>
        <w:tabs>
          <w:tab w:val="left" w:pos="1841"/>
        </w:tabs>
        <w:spacing w:line="364" w:lineRule="auto"/>
        <w:ind w:left="1240" w:right="997" w:firstLine="0"/>
        <w:jc w:val="both"/>
      </w:pPr>
      <w:r>
        <w:rPr>
          <w:rFonts w:hint="eastAsia"/>
          <w:spacing w:val="-1"/>
          <w:sz w:val="24"/>
        </w:rPr>
        <w:t>（</w:t>
      </w:r>
      <w:r>
        <w:rPr>
          <w:rFonts w:hint="eastAsia"/>
          <w:spacing w:val="-1"/>
          <w:sz w:val="24"/>
          <w:lang w:val="en-US"/>
        </w:rPr>
        <w:t>3</w:t>
      </w:r>
      <w:r>
        <w:rPr>
          <w:rFonts w:hint="eastAsia"/>
          <w:spacing w:val="-1"/>
          <w:sz w:val="24"/>
        </w:rPr>
        <w:t>）</w:t>
      </w:r>
      <w:r>
        <w:rPr>
          <w:spacing w:val="-1"/>
          <w:sz w:val="24"/>
        </w:rPr>
        <w:t>投标人必须在采购人所在地或附近地区有专业的售后服务力量。提供</w:t>
      </w:r>
      <w:r>
        <w:rPr>
          <w:spacing w:val="-9"/>
          <w:sz w:val="24"/>
        </w:rPr>
        <w:t xml:space="preserve">售后服务联系电话及联系人。免费质保期内，接到报障电话 </w:t>
      </w:r>
      <w:r>
        <w:rPr>
          <w:sz w:val="24"/>
        </w:rPr>
        <w:t>8</w:t>
      </w:r>
      <w:r>
        <w:rPr>
          <w:spacing w:val="-9"/>
          <w:sz w:val="24"/>
        </w:rPr>
        <w:t xml:space="preserve"> 小时内派技术</w:t>
      </w:r>
      <w:r>
        <w:rPr>
          <w:spacing w:val="-1"/>
          <w:sz w:val="24"/>
        </w:rPr>
        <w:t>人员上门维修,且在 48 小时（连同前面时间计算）内处理完毕。规定时间内未处理完毕的，投标人提供不低于同等档次货物供采购人使用至故障货物能正常使用为止。如果需要更换配件的，要求更换的配件跟被更换的品牌、类型相一致或者是同类同档次的替代品，后者需征得采购人管理人员同意。如须增加非投标人的货物和配件，投标人应协助解决</w:t>
      </w:r>
      <w:r>
        <w:rPr>
          <w:rFonts w:hint="eastAsia"/>
          <w:spacing w:val="-1"/>
          <w:sz w:val="24"/>
        </w:rPr>
        <w:t>（</w:t>
      </w:r>
      <w:r>
        <w:rPr>
          <w:spacing w:val="-1"/>
          <w:sz w:val="24"/>
        </w:rPr>
        <w:t>投标人</w:t>
      </w:r>
      <w:r>
        <w:rPr>
          <w:rFonts w:hint="eastAsia"/>
          <w:spacing w:val="-1"/>
          <w:sz w:val="24"/>
          <w:lang w:val="en-US"/>
        </w:rPr>
        <w:t>需做出承诺函</w:t>
      </w:r>
      <w:r>
        <w:rPr>
          <w:rFonts w:hint="eastAsia"/>
          <w:spacing w:val="-1"/>
          <w:sz w:val="24"/>
        </w:rPr>
        <w:t>）</w:t>
      </w:r>
      <w:r>
        <w:rPr>
          <w:spacing w:val="-1"/>
          <w:sz w:val="24"/>
        </w:rPr>
        <w:t>。</w:t>
      </w:r>
    </w:p>
    <w:p>
      <w:pPr>
        <w:pStyle w:val="22"/>
        <w:tabs>
          <w:tab w:val="left" w:pos="1841"/>
        </w:tabs>
        <w:spacing w:line="364" w:lineRule="auto"/>
        <w:ind w:left="1240" w:right="997" w:firstLine="0"/>
        <w:jc w:val="both"/>
        <w:rPr>
          <w:sz w:val="24"/>
        </w:rPr>
      </w:pPr>
      <w:r>
        <w:rPr>
          <w:rFonts w:hint="eastAsia"/>
          <w:spacing w:val="-1"/>
          <w:sz w:val="24"/>
        </w:rPr>
        <w:t>（</w:t>
      </w:r>
      <w:r>
        <w:rPr>
          <w:rFonts w:hint="eastAsia"/>
          <w:spacing w:val="-1"/>
          <w:sz w:val="24"/>
          <w:lang w:val="en-US"/>
        </w:rPr>
        <w:t>4</w:t>
      </w:r>
      <w:r>
        <w:rPr>
          <w:rFonts w:hint="eastAsia"/>
          <w:spacing w:val="-1"/>
          <w:sz w:val="24"/>
        </w:rPr>
        <w:t>）</w:t>
      </w:r>
      <w:r>
        <w:rPr>
          <w:spacing w:val="-1"/>
          <w:sz w:val="24"/>
        </w:rPr>
        <w:t>对质保期内的故障报修，如投标人未能做到上款的服务承诺，采购人</w:t>
      </w:r>
      <w:r>
        <w:rPr>
          <w:spacing w:val="-8"/>
          <w:sz w:val="24"/>
        </w:rPr>
        <w:t>可采取必要的补救措施，但其风险和费用由投标人承担，由于投标人的保证服务</w:t>
      </w:r>
      <w:r>
        <w:rPr>
          <w:sz w:val="24"/>
        </w:rPr>
        <w:t>不到位，质保期的到期时间将顺延。</w:t>
      </w:r>
    </w:p>
    <w:p>
      <w:pPr>
        <w:pStyle w:val="22"/>
        <w:tabs>
          <w:tab w:val="left" w:pos="1841"/>
        </w:tabs>
        <w:spacing w:line="362" w:lineRule="auto"/>
        <w:ind w:left="1240" w:right="1000" w:firstLine="0"/>
        <w:rPr>
          <w:sz w:val="24"/>
        </w:rPr>
      </w:pPr>
      <w:r>
        <w:rPr>
          <w:rFonts w:hint="eastAsia"/>
          <w:spacing w:val="-1"/>
          <w:sz w:val="24"/>
        </w:rPr>
        <w:t>（</w:t>
      </w:r>
      <w:r>
        <w:rPr>
          <w:rFonts w:hint="eastAsia"/>
          <w:spacing w:val="-1"/>
          <w:sz w:val="24"/>
          <w:lang w:val="en-US"/>
        </w:rPr>
        <w:t>5</w:t>
      </w:r>
      <w:r>
        <w:rPr>
          <w:rFonts w:hint="eastAsia"/>
          <w:spacing w:val="-1"/>
          <w:sz w:val="24"/>
        </w:rPr>
        <w:t>）</w:t>
      </w:r>
      <w:r>
        <w:rPr>
          <w:spacing w:val="-1"/>
          <w:sz w:val="24"/>
        </w:rPr>
        <w:t>质保期内因采购人使用、管理不当所造成的损失由采购人承担，投标</w:t>
      </w:r>
      <w:r>
        <w:rPr>
          <w:sz w:val="24"/>
        </w:rPr>
        <w:t>人提供有偿服务。</w:t>
      </w:r>
    </w:p>
    <w:p>
      <w:pPr>
        <w:pStyle w:val="22"/>
        <w:tabs>
          <w:tab w:val="left" w:pos="1841"/>
        </w:tabs>
        <w:spacing w:line="364" w:lineRule="auto"/>
        <w:ind w:left="1240" w:right="1000" w:firstLine="0"/>
        <w:rPr>
          <w:sz w:val="24"/>
        </w:rPr>
      </w:pPr>
      <w:r>
        <w:rPr>
          <w:rFonts w:hint="eastAsia"/>
          <w:spacing w:val="-1"/>
          <w:sz w:val="24"/>
        </w:rPr>
        <w:t>（</w:t>
      </w:r>
      <w:r>
        <w:rPr>
          <w:rFonts w:hint="eastAsia"/>
          <w:spacing w:val="-1"/>
          <w:sz w:val="24"/>
          <w:lang w:val="en-US"/>
        </w:rPr>
        <w:t>6</w:t>
      </w:r>
      <w:r>
        <w:rPr>
          <w:rFonts w:hint="eastAsia"/>
          <w:spacing w:val="-1"/>
          <w:sz w:val="24"/>
        </w:rPr>
        <w:t>）</w:t>
      </w:r>
      <w:r>
        <w:rPr>
          <w:spacing w:val="-1"/>
          <w:sz w:val="24"/>
        </w:rPr>
        <w:t>质保期满后，若有零部件出现故障，经权威部门鉴定属于寿命异常问</w:t>
      </w:r>
      <w:r>
        <w:rPr>
          <w:sz w:val="24"/>
        </w:rPr>
        <w:t>题（明显短于该零部件正常寿命）时，则由投标人负责免费更换及维修。</w:t>
      </w:r>
    </w:p>
    <w:p>
      <w:pPr>
        <w:pStyle w:val="22"/>
        <w:tabs>
          <w:tab w:val="left" w:pos="1841"/>
        </w:tabs>
        <w:spacing w:line="364" w:lineRule="auto"/>
        <w:ind w:left="1240" w:right="997" w:firstLine="0"/>
        <w:jc w:val="both"/>
        <w:rPr>
          <w:sz w:val="24"/>
        </w:rPr>
      </w:pPr>
      <w:r>
        <w:rPr>
          <w:rFonts w:hint="eastAsia"/>
          <w:sz w:val="24"/>
        </w:rPr>
        <w:t>（</w:t>
      </w:r>
      <w:r>
        <w:rPr>
          <w:rFonts w:hint="eastAsia"/>
          <w:sz w:val="24"/>
          <w:lang w:val="en-US"/>
        </w:rPr>
        <w:t>7</w:t>
      </w:r>
      <w:r>
        <w:rPr>
          <w:rFonts w:hint="eastAsia"/>
          <w:sz w:val="24"/>
        </w:rPr>
        <w:t>）</w:t>
      </w:r>
      <w:r>
        <w:rPr>
          <w:sz w:val="24"/>
        </w:rPr>
        <w:t>质保期满后，应采购人要求，投标人应（参考当时的市场价格）</w:t>
      </w:r>
      <w:r>
        <w:rPr>
          <w:spacing w:val="-6"/>
          <w:sz w:val="24"/>
        </w:rPr>
        <w:t>按优</w:t>
      </w:r>
      <w:r>
        <w:rPr>
          <w:spacing w:val="-5"/>
          <w:sz w:val="24"/>
        </w:rPr>
        <w:t>惠价格与采购人方签订定期维修保养合同及提供采购人所需零配件，投标人对货</w:t>
      </w:r>
      <w:r>
        <w:rPr>
          <w:sz w:val="24"/>
        </w:rPr>
        <w:t>物提供终身维护维修服务,只收取零配件成本费用。</w:t>
      </w:r>
    </w:p>
    <w:p>
      <w:pPr>
        <w:pStyle w:val="5"/>
      </w:pPr>
      <w:r>
        <w:rPr>
          <w:rFonts w:hint="eastAsia"/>
        </w:rPr>
        <w:t>6</w:t>
      </w:r>
      <w:r>
        <w:t>.付款方式：</w:t>
      </w:r>
    </w:p>
    <w:p>
      <w:pPr>
        <w:pStyle w:val="12"/>
        <w:spacing w:before="157" w:line="362" w:lineRule="auto"/>
        <w:ind w:left="760" w:right="997" w:firstLine="480"/>
      </w:pPr>
      <w:r>
        <w:t>1</w:t>
      </w:r>
      <w:r>
        <w:rPr>
          <w:spacing w:val="-6"/>
        </w:rPr>
        <w:t xml:space="preserve">、合同签订之日起 </w:t>
      </w:r>
      <w:r>
        <w:t>7</w:t>
      </w:r>
      <w:r>
        <w:rPr>
          <w:spacing w:val="-9"/>
        </w:rPr>
        <w:t xml:space="preserve"> 天内，采购人向中标人支付合同总额的 </w:t>
      </w:r>
      <w:r>
        <w:t>50%作为首期款；</w:t>
      </w:r>
    </w:p>
    <w:p>
      <w:pPr>
        <w:pStyle w:val="12"/>
        <w:spacing w:before="5" w:line="362" w:lineRule="auto"/>
        <w:ind w:left="760" w:right="997" w:firstLine="480"/>
      </w:pPr>
      <w:r>
        <w:t>2</w:t>
      </w:r>
      <w:r>
        <w:rPr>
          <w:spacing w:val="-3"/>
        </w:rPr>
        <w:t xml:space="preserve">、所有货物及服务完成并安装调试验收合格之日起 </w:t>
      </w:r>
      <w:r>
        <w:t>10</w:t>
      </w:r>
      <w:r>
        <w:rPr>
          <w:spacing w:val="-19"/>
        </w:rPr>
        <w:t xml:space="preserve"> 天内，采购人向中标</w:t>
      </w:r>
      <w:r>
        <w:rPr>
          <w:spacing w:val="-6"/>
        </w:rPr>
        <w:t xml:space="preserve">人支付至合同总额的 </w:t>
      </w:r>
      <w:r>
        <w:t>97%；</w:t>
      </w:r>
    </w:p>
    <w:p>
      <w:pPr>
        <w:pStyle w:val="12"/>
        <w:spacing w:before="5"/>
        <w:ind w:left="1240"/>
      </w:pPr>
      <w:r>
        <w:t>3、所有货物在通过验收满 12 个月后的 10 天内，采购人向中标人支付至合</w:t>
      </w:r>
    </w:p>
    <w:p>
      <w:pPr>
        <w:pStyle w:val="12"/>
        <w:spacing w:before="75"/>
        <w:ind w:left="760"/>
      </w:pPr>
      <w:r>
        <w:t>同总额的 100%；。</w:t>
      </w:r>
    </w:p>
    <w:p>
      <w:pPr>
        <w:pStyle w:val="12"/>
        <w:spacing w:before="158" w:line="362" w:lineRule="auto"/>
        <w:ind w:left="760" w:right="997" w:firstLine="480"/>
        <w:sectPr>
          <w:footerReference r:id="rId9" w:type="default"/>
          <w:pgSz w:w="11910" w:h="16840"/>
          <w:pgMar w:top="1380" w:right="800" w:bottom="1100" w:left="1040" w:header="924" w:footer="904" w:gutter="0"/>
          <w:cols w:space="720" w:num="1"/>
        </w:sectPr>
      </w:pPr>
      <w:r>
        <w:t>4、中标人须向采购人开具的正式发票，并提供发票复印件（加盖采购人公章），方可办理相关申报支付手续。</w:t>
      </w:r>
    </w:p>
    <w:p>
      <w:pPr>
        <w:pStyle w:val="3"/>
        <w:ind w:left="0"/>
      </w:pPr>
      <w:bookmarkStart w:id="85" w:name="附表3：技术、商务及价格分值分配"/>
      <w:bookmarkEnd w:id="85"/>
      <w:bookmarkStart w:id="86" w:name="第五章_合同格式"/>
      <w:bookmarkEnd w:id="86"/>
      <w:bookmarkStart w:id="87" w:name="附表6：价格评审表"/>
      <w:bookmarkEnd w:id="87"/>
      <w:bookmarkStart w:id="88" w:name="附表4：技术评审表"/>
      <w:bookmarkEnd w:id="88"/>
      <w:bookmarkStart w:id="89" w:name="附表1：资格性审查表"/>
      <w:bookmarkEnd w:id="89"/>
      <w:bookmarkStart w:id="90" w:name="第四章_评分体系与标准"/>
      <w:bookmarkEnd w:id="90"/>
      <w:bookmarkStart w:id="91" w:name="附表5：商务评审表"/>
      <w:bookmarkEnd w:id="91"/>
      <w:bookmarkStart w:id="92" w:name="附表2：符合性审查表"/>
      <w:bookmarkEnd w:id="92"/>
      <w:bookmarkStart w:id="93" w:name="_Toc20684"/>
      <w:r>
        <w:t>第</w:t>
      </w:r>
      <w:r>
        <w:rPr>
          <w:rFonts w:hint="eastAsia"/>
          <w:lang w:val="en-US"/>
        </w:rPr>
        <w:t>四</w:t>
      </w:r>
      <w:r>
        <w:t>章 合同格式</w:t>
      </w:r>
      <w:bookmarkEnd w:id="93"/>
    </w:p>
    <w:p/>
    <w:p>
      <w:pPr>
        <w:pStyle w:val="13"/>
      </w:pPr>
      <w:r>
        <w:rPr>
          <w:rFonts w:hint="eastAsia"/>
        </w:rPr>
        <w:t>注：（合同格式为合同的参考文本，合同签订双方可根据项目的具体要求进行修订）</w:t>
      </w:r>
    </w:p>
    <w:p>
      <w:pPr>
        <w:pStyle w:val="12"/>
        <w:rPr>
          <w:b/>
          <w:sz w:val="20"/>
        </w:rPr>
      </w:pPr>
    </w:p>
    <w:p>
      <w:pPr>
        <w:pStyle w:val="12"/>
        <w:rPr>
          <w:b/>
          <w:sz w:val="20"/>
        </w:rPr>
      </w:pPr>
    </w:p>
    <w:p>
      <w:pPr>
        <w:pStyle w:val="12"/>
        <w:spacing w:before="6"/>
        <w:rPr>
          <w:b/>
          <w:sz w:val="22"/>
        </w:rPr>
      </w:pPr>
    </w:p>
    <w:p>
      <w:pPr>
        <w:tabs>
          <w:tab w:val="left" w:pos="4652"/>
          <w:tab w:val="left" w:pos="5696"/>
        </w:tabs>
        <w:spacing w:before="28" w:line="559" w:lineRule="auto"/>
        <w:ind w:left="3608" w:right="3325" w:hanging="524"/>
        <w:rPr>
          <w:b/>
          <w:sz w:val="52"/>
        </w:rPr>
      </w:pPr>
      <w:r>
        <w:rPr>
          <w:b/>
          <w:sz w:val="52"/>
        </w:rPr>
        <w:t>广东省政府采</w:t>
      </w:r>
      <w:r>
        <w:rPr>
          <w:b/>
          <w:spacing w:val="-13"/>
          <w:sz w:val="52"/>
        </w:rPr>
        <w:t>购</w:t>
      </w:r>
      <w:r>
        <w:rPr>
          <w:b/>
          <w:sz w:val="52"/>
        </w:rPr>
        <w:t>合</w:t>
      </w:r>
      <w:r>
        <w:rPr>
          <w:b/>
          <w:sz w:val="52"/>
        </w:rPr>
        <w:tab/>
      </w:r>
      <w:r>
        <w:rPr>
          <w:b/>
          <w:sz w:val="52"/>
        </w:rPr>
        <w:t>同</w:t>
      </w:r>
      <w:r>
        <w:rPr>
          <w:b/>
          <w:sz w:val="52"/>
        </w:rPr>
        <w:tab/>
      </w:r>
      <w:r>
        <w:rPr>
          <w:b/>
          <w:sz w:val="52"/>
        </w:rPr>
        <w:t>书</w:t>
      </w:r>
    </w:p>
    <w:p>
      <w:pPr>
        <w:pStyle w:val="12"/>
        <w:rPr>
          <w:b/>
          <w:sz w:val="52"/>
        </w:rPr>
      </w:pPr>
    </w:p>
    <w:p>
      <w:pPr>
        <w:pStyle w:val="12"/>
        <w:rPr>
          <w:b/>
          <w:sz w:val="52"/>
        </w:rPr>
      </w:pPr>
    </w:p>
    <w:p>
      <w:pPr>
        <w:pStyle w:val="12"/>
        <w:spacing w:before="12"/>
        <w:rPr>
          <w:b/>
          <w:sz w:val="67"/>
        </w:rPr>
      </w:pPr>
    </w:p>
    <w:p>
      <w:pPr>
        <w:tabs>
          <w:tab w:val="left" w:pos="6715"/>
        </w:tabs>
        <w:spacing w:before="74"/>
        <w:ind w:left="2320"/>
        <w:rPr>
          <w:b/>
          <w:w w:val="95"/>
          <w:sz w:val="24"/>
        </w:rPr>
      </w:pPr>
      <w:r>
        <w:rPr>
          <w:b/>
          <w:w w:val="95"/>
          <w:sz w:val="24"/>
        </w:rPr>
        <w:t xml:space="preserve">采购编号： </w:t>
      </w:r>
      <w:r>
        <w:rPr>
          <w:b/>
          <w:w w:val="95"/>
          <w:sz w:val="24"/>
        </w:rPr>
        <w:tab/>
      </w:r>
    </w:p>
    <w:p>
      <w:pPr>
        <w:pStyle w:val="12"/>
        <w:rPr>
          <w:rFonts w:ascii="Times New Roman"/>
          <w:b/>
          <w:sz w:val="20"/>
        </w:rPr>
      </w:pPr>
    </w:p>
    <w:p>
      <w:pPr>
        <w:pStyle w:val="12"/>
        <w:rPr>
          <w:rFonts w:ascii="Times New Roman"/>
          <w:b/>
          <w:sz w:val="28"/>
        </w:rPr>
      </w:pPr>
    </w:p>
    <w:p>
      <w:pPr>
        <w:tabs>
          <w:tab w:val="left" w:pos="6715"/>
        </w:tabs>
        <w:spacing w:before="74"/>
        <w:ind w:left="2320"/>
        <w:rPr>
          <w:rFonts w:ascii="Times New Roman" w:eastAsia="Times New Roman"/>
          <w:b/>
          <w:sz w:val="24"/>
        </w:rPr>
      </w:pPr>
      <w:r>
        <w:rPr>
          <w:b/>
          <w:w w:val="95"/>
          <w:sz w:val="24"/>
        </w:rPr>
        <w:t>项目名称：</w:t>
      </w:r>
      <w:r>
        <w:rPr>
          <w:rFonts w:ascii="Times New Roman" w:eastAsia="Times New Roman"/>
          <w:b/>
          <w:sz w:val="24"/>
          <w:u w:val="single"/>
        </w:rPr>
        <w:t xml:space="preserve"> </w:t>
      </w:r>
      <w:r>
        <w:rPr>
          <w:rFonts w:ascii="Times New Roman" w:eastAsia="Times New Roman"/>
          <w:b/>
          <w:sz w:val="24"/>
          <w:u w:val="single"/>
        </w:rPr>
        <w:tab/>
      </w: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pStyle w:val="12"/>
        <w:rPr>
          <w:rFonts w:ascii="Times New Roman"/>
          <w:b/>
          <w:sz w:val="20"/>
        </w:rPr>
      </w:pPr>
    </w:p>
    <w:p>
      <w:pPr>
        <w:rPr>
          <w:sz w:val="21"/>
        </w:rPr>
        <w:sectPr>
          <w:footerReference r:id="rId10" w:type="default"/>
          <w:pgSz w:w="11910" w:h="16840"/>
          <w:pgMar w:top="1380" w:right="800" w:bottom="1100" w:left="1040" w:header="924" w:footer="904" w:gutter="0"/>
          <w:cols w:space="720" w:num="1"/>
        </w:sectPr>
      </w:pPr>
    </w:p>
    <w:p>
      <w:pPr>
        <w:pStyle w:val="12"/>
        <w:rPr>
          <w:b/>
          <w:sz w:val="17"/>
        </w:rPr>
      </w:pPr>
    </w:p>
    <w:p>
      <w:pPr>
        <w:pStyle w:val="12"/>
        <w:tabs>
          <w:tab w:val="left" w:pos="5679"/>
        </w:tabs>
        <w:spacing w:before="66"/>
        <w:ind w:left="760"/>
      </w:pPr>
      <w:r>
        <w:t>合同名称：</w:t>
      </w:r>
      <w:r>
        <w:tab/>
      </w:r>
      <w:r>
        <w:t>采购方式：公开招标</w:t>
      </w:r>
    </w:p>
    <w:p>
      <w:pPr>
        <w:pStyle w:val="12"/>
        <w:spacing w:before="159"/>
        <w:ind w:left="760"/>
      </w:pPr>
      <w:r>
        <w:t>合同编号：</w:t>
      </w:r>
    </w:p>
    <w:p>
      <w:pPr>
        <w:pStyle w:val="12"/>
        <w:tabs>
          <w:tab w:val="left" w:pos="5799"/>
        </w:tabs>
        <w:spacing w:before="160"/>
        <w:ind w:left="760"/>
        <w:jc w:val="both"/>
      </w:pPr>
      <w:r>
        <w:t>买方(甲方)：</w:t>
      </w:r>
      <w:r>
        <w:tab/>
      </w:r>
      <w:r>
        <w:t>签订地点：</w:t>
      </w:r>
    </w:p>
    <w:p>
      <w:pPr>
        <w:tabs>
          <w:tab w:val="left" w:pos="5751"/>
        </w:tabs>
        <w:spacing w:before="161" w:line="362" w:lineRule="auto"/>
        <w:ind w:left="1180" w:right="997" w:hanging="420"/>
        <w:jc w:val="both"/>
        <w:rPr>
          <w:sz w:val="24"/>
        </w:rPr>
      </w:pPr>
      <w:r>
        <w:rPr>
          <w:sz w:val="24"/>
        </w:rPr>
        <w:t>卖方(乙方)：</w:t>
      </w:r>
      <w:r>
        <w:rPr>
          <w:sz w:val="24"/>
        </w:rPr>
        <w:tab/>
      </w:r>
      <w:r>
        <w:rPr>
          <w:sz w:val="24"/>
        </w:rPr>
        <w:t>生效时间</w:t>
      </w:r>
      <w:r>
        <w:rPr>
          <w:spacing w:val="-46"/>
          <w:sz w:val="24"/>
        </w:rPr>
        <w:t>：</w:t>
      </w:r>
      <w:r>
        <w:rPr>
          <w:sz w:val="24"/>
        </w:rPr>
        <w:t>双方签名盖章之日</w:t>
      </w:r>
      <w:r>
        <w:rPr>
          <w:spacing w:val="-16"/>
          <w:sz w:val="24"/>
        </w:rPr>
        <w:t>起</w:t>
      </w:r>
    </w:p>
    <w:p>
      <w:pPr>
        <w:pStyle w:val="4"/>
        <w:ind w:firstLine="480"/>
        <w:rPr>
          <w:b w:val="0"/>
          <w:bCs w:val="0"/>
        </w:rPr>
      </w:pPr>
      <w:r>
        <w:rPr>
          <w:b w:val="0"/>
          <w:bCs w:val="0"/>
        </w:rPr>
        <w:t>一、合同签订的依据：</w:t>
      </w:r>
    </w:p>
    <w:p>
      <w:pPr>
        <w:pStyle w:val="12"/>
        <w:tabs>
          <w:tab w:val="left" w:pos="2679"/>
          <w:tab w:val="left" w:pos="3049"/>
          <w:tab w:val="left" w:pos="4359"/>
          <w:tab w:val="left" w:pos="6210"/>
          <w:tab w:val="left" w:pos="7311"/>
        </w:tabs>
        <w:spacing w:before="4" w:line="364" w:lineRule="auto"/>
        <w:ind w:left="760" w:right="997" w:firstLine="480"/>
        <w:jc w:val="both"/>
      </w:pPr>
      <w:r>
        <w:t>根据</w:t>
      </w:r>
      <w:r>
        <w:rPr>
          <w:u w:val="single"/>
        </w:rPr>
        <w:t xml:space="preserve"> </w:t>
      </w:r>
      <w:r>
        <w:rPr>
          <w:u w:val="single"/>
        </w:rPr>
        <w:tab/>
      </w:r>
      <w:r>
        <w:t>组织的</w:t>
      </w:r>
      <w:r>
        <w:rPr>
          <w:u w:val="single"/>
        </w:rPr>
        <w:t xml:space="preserve"> </w:t>
      </w:r>
      <w:r>
        <w:rPr>
          <w:u w:val="single"/>
        </w:rPr>
        <w:tab/>
      </w:r>
      <w:r>
        <w:t>(项目编号：</w:t>
      </w:r>
      <w:r>
        <w:tab/>
      </w:r>
      <w:r>
        <w:tab/>
      </w:r>
      <w:r>
        <w:t>)的招标结果</w:t>
      </w:r>
      <w:r>
        <w:rPr>
          <w:spacing w:val="-46"/>
        </w:rPr>
        <w:t>，</w:t>
      </w:r>
      <w:r>
        <w:rPr>
          <w:spacing w:val="-16"/>
        </w:rPr>
        <w:t>现</w:t>
      </w:r>
      <w:r>
        <w:t>用</w:t>
      </w:r>
      <w:r>
        <w:rPr>
          <w:spacing w:val="-24"/>
        </w:rPr>
        <w:t>户</w:t>
      </w:r>
      <w:r>
        <w:t>（以下简称甲方</w:t>
      </w:r>
      <w:r>
        <w:rPr>
          <w:spacing w:val="-24"/>
        </w:rPr>
        <w:t>）</w:t>
      </w:r>
      <w:r>
        <w:t>与该项目中标人</w:t>
      </w:r>
      <w:r>
        <w:rPr>
          <w:u w:val="single"/>
        </w:rPr>
        <w:t xml:space="preserve"> </w:t>
      </w:r>
      <w:r>
        <w:rPr>
          <w:u w:val="single"/>
        </w:rPr>
        <w:tab/>
      </w:r>
      <w:r>
        <w:t>（以下简称乙方</w:t>
      </w:r>
      <w:r>
        <w:rPr>
          <w:spacing w:val="-24"/>
        </w:rPr>
        <w:t>）</w:t>
      </w:r>
      <w:r>
        <w:t>就乙方</w:t>
      </w:r>
      <w:r>
        <w:rPr>
          <w:spacing w:val="-17"/>
        </w:rPr>
        <w:t>向</w:t>
      </w:r>
      <w:r>
        <w:t>甲方提供</w:t>
      </w:r>
      <w:r>
        <w:rPr>
          <w:u w:val="single"/>
        </w:rPr>
        <w:t xml:space="preserve"> </w:t>
      </w:r>
      <w:r>
        <w:rPr>
          <w:u w:val="single"/>
        </w:rPr>
        <w:tab/>
      </w:r>
      <w:r>
        <w:rPr>
          <w:u w:val="single"/>
        </w:rPr>
        <w:tab/>
      </w:r>
      <w:r>
        <w:t>的供货及相关服务，经甲乙双方协商一致，签订本合同</w:t>
      </w:r>
      <w:r>
        <w:rPr>
          <w:spacing w:val="-14"/>
        </w:rPr>
        <w:t xml:space="preserve">， </w:t>
      </w:r>
      <w:r>
        <w:t>共同遵守如下条款：</w:t>
      </w:r>
    </w:p>
    <w:p>
      <w:pPr>
        <w:pStyle w:val="4"/>
        <w:ind w:firstLine="459"/>
        <w:rPr>
          <w:b w:val="0"/>
        </w:rPr>
      </w:pPr>
      <w:r>
        <w:rPr>
          <w:w w:val="95"/>
        </w:rPr>
        <w:t>二、</w:t>
      </w:r>
      <w:r>
        <w:rPr>
          <w:b w:val="0"/>
          <w:w w:val="95"/>
        </w:rPr>
        <w:t>合同标的：</w:t>
      </w:r>
    </w:p>
    <w:p>
      <w:pPr>
        <w:pStyle w:val="12"/>
        <w:tabs>
          <w:tab w:val="left" w:pos="4539"/>
        </w:tabs>
        <w:spacing w:before="159" w:line="364" w:lineRule="auto"/>
        <w:ind w:left="760" w:right="995" w:firstLine="420"/>
        <w:jc w:val="both"/>
      </w:pPr>
      <w:r>
        <w:t>1、本合同标的为</w:t>
      </w:r>
      <w:r>
        <w:rPr>
          <w:u w:val="single"/>
        </w:rPr>
        <w:t xml:space="preserve"> </w:t>
      </w:r>
      <w:r>
        <w:rPr>
          <w:u w:val="single"/>
        </w:rPr>
        <w:tab/>
      </w:r>
      <w:r>
        <w:t>招标项目</w:t>
      </w:r>
      <w:r>
        <w:rPr>
          <w:spacing w:val="-8"/>
        </w:rPr>
        <w:t>，</w:t>
      </w:r>
      <w:r>
        <w:t>包括设计</w:t>
      </w:r>
      <w:r>
        <w:rPr>
          <w:spacing w:val="-10"/>
        </w:rPr>
        <w:t>、</w:t>
      </w:r>
      <w:r>
        <w:t>货物供货</w:t>
      </w:r>
      <w:r>
        <w:rPr>
          <w:spacing w:val="-8"/>
        </w:rPr>
        <w:t>、</w:t>
      </w:r>
      <w:r>
        <w:t>安装</w:t>
      </w:r>
      <w:r>
        <w:rPr>
          <w:spacing w:val="-8"/>
        </w:rPr>
        <w:t>、</w:t>
      </w:r>
      <w:r>
        <w:rPr>
          <w:spacing w:val="-14"/>
        </w:rPr>
        <w:t>调</w:t>
      </w:r>
      <w:r>
        <w:t>试</w:t>
      </w:r>
      <w:r>
        <w:rPr>
          <w:spacing w:val="-15"/>
        </w:rPr>
        <w:t>、</w:t>
      </w:r>
      <w:r>
        <w:t>培训</w:t>
      </w:r>
      <w:r>
        <w:rPr>
          <w:spacing w:val="-15"/>
        </w:rPr>
        <w:t>、</w:t>
      </w:r>
      <w:r>
        <w:t>验收</w:t>
      </w:r>
      <w:r>
        <w:rPr>
          <w:spacing w:val="-15"/>
        </w:rPr>
        <w:t>、</w:t>
      </w:r>
      <w:r>
        <w:t>技术服</w:t>
      </w:r>
      <w:r>
        <w:rPr>
          <w:spacing w:val="-12"/>
        </w:rPr>
        <w:t>务</w:t>
      </w:r>
      <w:r>
        <w:t>（包括技术资料</w:t>
      </w:r>
      <w:r>
        <w:rPr>
          <w:spacing w:val="-12"/>
        </w:rPr>
        <w:t>、</w:t>
      </w:r>
      <w:r>
        <w:t>图纸的提供</w:t>
      </w:r>
      <w:r>
        <w:rPr>
          <w:spacing w:val="-15"/>
        </w:rPr>
        <w:t>）</w:t>
      </w:r>
      <w:r>
        <w:rPr>
          <w:spacing w:val="-12"/>
        </w:rPr>
        <w:t>、</w:t>
      </w:r>
      <w:r>
        <w:t>质保期保障等的</w:t>
      </w:r>
      <w:r>
        <w:rPr>
          <w:spacing w:val="-15"/>
        </w:rPr>
        <w:t>全</w:t>
      </w:r>
      <w:r>
        <w:t>部内容。</w:t>
      </w:r>
    </w:p>
    <w:p>
      <w:pPr>
        <w:pStyle w:val="12"/>
        <w:spacing w:line="307" w:lineRule="exact"/>
        <w:ind w:left="1180"/>
      </w:pPr>
      <w:r>
        <w:t>2、货物内容</w:t>
      </w:r>
    </w:p>
    <w:p>
      <w:pPr>
        <w:pStyle w:val="12"/>
        <w:tabs>
          <w:tab w:val="left" w:pos="1439"/>
        </w:tabs>
        <w:spacing w:before="160"/>
        <w:ind w:right="997"/>
        <w:jc w:val="right"/>
      </w:pPr>
      <w:r>
        <w:t>货币单位：</w:t>
      </w:r>
      <w:r>
        <w:tab/>
      </w:r>
      <w:r>
        <w:t>元</w:t>
      </w:r>
    </w:p>
    <w:p>
      <w:pPr>
        <w:pStyle w:val="12"/>
        <w:spacing w:before="3"/>
        <w:rPr>
          <w:sz w:val="12"/>
        </w:rPr>
      </w:pPr>
    </w:p>
    <w:tbl>
      <w:tblPr>
        <w:tblStyle w:val="19"/>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7"/>
        <w:gridCol w:w="1710"/>
        <w:gridCol w:w="1245"/>
        <w:gridCol w:w="2496"/>
        <w:gridCol w:w="780"/>
        <w:gridCol w:w="683"/>
        <w:gridCol w:w="945"/>
        <w:gridCol w:w="1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737" w:type="dxa"/>
            <w:shd w:val="clear" w:color="auto" w:fill="D6D6D6"/>
          </w:tcPr>
          <w:p>
            <w:pPr>
              <w:pStyle w:val="23"/>
              <w:spacing w:before="18" w:line="303" w:lineRule="exact"/>
              <w:ind w:left="107" w:right="93"/>
              <w:jc w:val="center"/>
              <w:rPr>
                <w:b/>
                <w:sz w:val="24"/>
              </w:rPr>
            </w:pPr>
            <w:r>
              <w:rPr>
                <w:b/>
                <w:sz w:val="24"/>
              </w:rPr>
              <w:t>序号</w:t>
            </w:r>
          </w:p>
        </w:tc>
        <w:tc>
          <w:tcPr>
            <w:tcW w:w="1710" w:type="dxa"/>
            <w:shd w:val="clear" w:color="auto" w:fill="D6D6D6"/>
          </w:tcPr>
          <w:p>
            <w:pPr>
              <w:pStyle w:val="23"/>
              <w:spacing w:before="18" w:line="303" w:lineRule="exact"/>
              <w:ind w:left="375"/>
              <w:rPr>
                <w:b/>
                <w:sz w:val="24"/>
              </w:rPr>
            </w:pPr>
            <w:r>
              <w:rPr>
                <w:b/>
                <w:sz w:val="24"/>
              </w:rPr>
              <w:t>物品名称</w:t>
            </w:r>
          </w:p>
        </w:tc>
        <w:tc>
          <w:tcPr>
            <w:tcW w:w="1245" w:type="dxa"/>
            <w:shd w:val="clear" w:color="auto" w:fill="D6D6D6"/>
          </w:tcPr>
          <w:p>
            <w:pPr>
              <w:pStyle w:val="23"/>
              <w:spacing w:before="18" w:line="303" w:lineRule="exact"/>
              <w:ind w:left="141"/>
              <w:rPr>
                <w:b/>
                <w:sz w:val="24"/>
              </w:rPr>
            </w:pPr>
            <w:r>
              <w:rPr>
                <w:b/>
                <w:sz w:val="24"/>
              </w:rPr>
              <w:t>品牌型号</w:t>
            </w:r>
          </w:p>
        </w:tc>
        <w:tc>
          <w:tcPr>
            <w:tcW w:w="2496" w:type="dxa"/>
            <w:shd w:val="clear" w:color="auto" w:fill="D6D6D6"/>
          </w:tcPr>
          <w:p>
            <w:pPr>
              <w:pStyle w:val="23"/>
              <w:spacing w:before="18" w:line="303" w:lineRule="exact"/>
              <w:ind w:left="768"/>
              <w:rPr>
                <w:b/>
                <w:sz w:val="24"/>
              </w:rPr>
            </w:pPr>
            <w:r>
              <w:rPr>
                <w:b/>
                <w:sz w:val="24"/>
              </w:rPr>
              <w:t>配置说明</w:t>
            </w:r>
          </w:p>
        </w:tc>
        <w:tc>
          <w:tcPr>
            <w:tcW w:w="780" w:type="dxa"/>
            <w:shd w:val="clear" w:color="auto" w:fill="D6D6D6"/>
          </w:tcPr>
          <w:p>
            <w:pPr>
              <w:pStyle w:val="23"/>
              <w:spacing w:before="18" w:line="303" w:lineRule="exact"/>
              <w:ind w:left="149"/>
              <w:rPr>
                <w:b/>
                <w:sz w:val="24"/>
              </w:rPr>
            </w:pPr>
            <w:r>
              <w:rPr>
                <w:b/>
                <w:sz w:val="24"/>
              </w:rPr>
              <w:t>单位</w:t>
            </w:r>
          </w:p>
        </w:tc>
        <w:tc>
          <w:tcPr>
            <w:tcW w:w="683" w:type="dxa"/>
            <w:shd w:val="clear" w:color="auto" w:fill="D6D6D6"/>
          </w:tcPr>
          <w:p>
            <w:pPr>
              <w:pStyle w:val="23"/>
              <w:spacing w:before="18" w:line="303" w:lineRule="exact"/>
              <w:ind w:left="101"/>
              <w:rPr>
                <w:b/>
                <w:sz w:val="24"/>
              </w:rPr>
            </w:pPr>
            <w:r>
              <w:rPr>
                <w:b/>
                <w:sz w:val="24"/>
              </w:rPr>
              <w:t>数量</w:t>
            </w:r>
          </w:p>
        </w:tc>
        <w:tc>
          <w:tcPr>
            <w:tcW w:w="945" w:type="dxa"/>
            <w:shd w:val="clear" w:color="auto" w:fill="D6D6D6"/>
          </w:tcPr>
          <w:p>
            <w:pPr>
              <w:pStyle w:val="23"/>
              <w:spacing w:before="18" w:line="303" w:lineRule="exact"/>
              <w:ind w:left="231"/>
              <w:rPr>
                <w:b/>
                <w:sz w:val="24"/>
              </w:rPr>
            </w:pPr>
            <w:r>
              <w:rPr>
                <w:b/>
                <w:sz w:val="24"/>
              </w:rPr>
              <w:t>单价</w:t>
            </w:r>
          </w:p>
        </w:tc>
        <w:tc>
          <w:tcPr>
            <w:tcW w:w="1004" w:type="dxa"/>
            <w:shd w:val="clear" w:color="auto" w:fill="D6D6D6"/>
          </w:tcPr>
          <w:p>
            <w:pPr>
              <w:pStyle w:val="23"/>
              <w:spacing w:before="18" w:line="303" w:lineRule="exact"/>
              <w:ind w:left="261"/>
              <w:rPr>
                <w:b/>
                <w:sz w:val="24"/>
              </w:rPr>
            </w:pPr>
            <w:r>
              <w:rPr>
                <w:b/>
                <w:sz w:val="24"/>
              </w:rPr>
              <w:t>总价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37" w:type="dxa"/>
          </w:tcPr>
          <w:p>
            <w:pPr>
              <w:pStyle w:val="23"/>
              <w:spacing w:before="17"/>
              <w:ind w:left="14"/>
              <w:jc w:val="center"/>
              <w:rPr>
                <w:sz w:val="24"/>
              </w:rPr>
            </w:pPr>
            <w:r>
              <w:rPr>
                <w:sz w:val="24"/>
              </w:rPr>
              <w:t>1</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37" w:type="dxa"/>
          </w:tcPr>
          <w:p>
            <w:pPr>
              <w:pStyle w:val="23"/>
              <w:spacing w:before="16"/>
              <w:ind w:left="14"/>
              <w:jc w:val="center"/>
              <w:rPr>
                <w:sz w:val="24"/>
              </w:rPr>
            </w:pPr>
            <w:r>
              <w:rPr>
                <w:sz w:val="24"/>
              </w:rPr>
              <w:t>2</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37" w:type="dxa"/>
          </w:tcPr>
          <w:p>
            <w:pPr>
              <w:pStyle w:val="23"/>
              <w:spacing w:before="18"/>
              <w:ind w:left="14"/>
              <w:jc w:val="center"/>
              <w:rPr>
                <w:sz w:val="24"/>
              </w:rPr>
            </w:pPr>
            <w:r>
              <w:rPr>
                <w:sz w:val="24"/>
              </w:rPr>
              <w:t>3</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37" w:type="dxa"/>
          </w:tcPr>
          <w:p>
            <w:pPr>
              <w:pStyle w:val="23"/>
              <w:spacing w:before="17"/>
              <w:ind w:left="14"/>
              <w:jc w:val="center"/>
              <w:rPr>
                <w:sz w:val="24"/>
              </w:rPr>
            </w:pPr>
            <w:r>
              <w:rPr>
                <w:sz w:val="24"/>
              </w:rPr>
              <w:t>4</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37" w:type="dxa"/>
          </w:tcPr>
          <w:p>
            <w:pPr>
              <w:pStyle w:val="23"/>
              <w:spacing w:before="16"/>
              <w:ind w:left="14"/>
              <w:jc w:val="center"/>
              <w:rPr>
                <w:sz w:val="24"/>
              </w:rPr>
            </w:pPr>
            <w:r>
              <w:rPr>
                <w:sz w:val="24"/>
              </w:rPr>
              <w:t>5</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37" w:type="dxa"/>
          </w:tcPr>
          <w:p>
            <w:pPr>
              <w:pStyle w:val="23"/>
              <w:spacing w:before="15"/>
              <w:ind w:left="14"/>
              <w:jc w:val="center"/>
              <w:rPr>
                <w:sz w:val="24"/>
              </w:rPr>
            </w:pPr>
            <w:r>
              <w:rPr>
                <w:sz w:val="24"/>
              </w:rPr>
              <w:t>6</w:t>
            </w:r>
          </w:p>
        </w:tc>
        <w:tc>
          <w:tcPr>
            <w:tcW w:w="1710" w:type="dxa"/>
          </w:tcPr>
          <w:p>
            <w:pPr>
              <w:pStyle w:val="23"/>
              <w:rPr>
                <w:rFonts w:ascii="Times New Roman"/>
              </w:rPr>
            </w:pPr>
          </w:p>
        </w:tc>
        <w:tc>
          <w:tcPr>
            <w:tcW w:w="1245" w:type="dxa"/>
          </w:tcPr>
          <w:p>
            <w:pPr>
              <w:pStyle w:val="23"/>
              <w:rPr>
                <w:rFonts w:ascii="Times New Roman"/>
              </w:rPr>
            </w:pPr>
          </w:p>
        </w:tc>
        <w:tc>
          <w:tcPr>
            <w:tcW w:w="2496" w:type="dxa"/>
          </w:tcPr>
          <w:p>
            <w:pPr>
              <w:pStyle w:val="23"/>
              <w:rPr>
                <w:rFonts w:ascii="Times New Roman"/>
              </w:rPr>
            </w:pPr>
          </w:p>
        </w:tc>
        <w:tc>
          <w:tcPr>
            <w:tcW w:w="780" w:type="dxa"/>
          </w:tcPr>
          <w:p>
            <w:pPr>
              <w:pStyle w:val="23"/>
              <w:rPr>
                <w:rFonts w:ascii="Times New Roman"/>
              </w:rPr>
            </w:pPr>
          </w:p>
        </w:tc>
        <w:tc>
          <w:tcPr>
            <w:tcW w:w="683" w:type="dxa"/>
          </w:tcPr>
          <w:p>
            <w:pPr>
              <w:pStyle w:val="23"/>
              <w:rPr>
                <w:rFonts w:ascii="Times New Roman"/>
              </w:rPr>
            </w:pPr>
          </w:p>
        </w:tc>
        <w:tc>
          <w:tcPr>
            <w:tcW w:w="945" w:type="dxa"/>
          </w:tcPr>
          <w:p>
            <w:pPr>
              <w:pStyle w:val="23"/>
              <w:rPr>
                <w:rFonts w:ascii="Times New Roman"/>
              </w:rPr>
            </w:pPr>
          </w:p>
        </w:tc>
        <w:tc>
          <w:tcPr>
            <w:tcW w:w="1004" w:type="dxa"/>
          </w:tcPr>
          <w:p>
            <w:pPr>
              <w:pStyle w:val="23"/>
              <w:rPr>
                <w:rFonts w:ascii="Times New Roman"/>
              </w:rPr>
            </w:pPr>
          </w:p>
        </w:tc>
      </w:tr>
    </w:tbl>
    <w:p>
      <w:pPr>
        <w:pStyle w:val="4"/>
        <w:ind w:firstLine="482"/>
        <w:rPr>
          <w:szCs w:val="24"/>
        </w:rPr>
      </w:pPr>
      <w:r>
        <w:rPr>
          <w:szCs w:val="24"/>
        </w:rPr>
        <w:t>三、价格：</w:t>
      </w:r>
    </w:p>
    <w:p>
      <w:pPr>
        <w:pStyle w:val="12"/>
        <w:tabs>
          <w:tab w:val="left" w:pos="7479"/>
        </w:tabs>
        <w:spacing w:before="161"/>
        <w:ind w:left="1180"/>
        <w:rPr>
          <w:rFonts w:ascii="Times New Roman" w:eastAsia="Times New Roman"/>
        </w:rPr>
      </w:pPr>
      <w:r>
        <w:t>1、合同总价：人民币（大写）</w:t>
      </w:r>
      <w:r>
        <w:rPr>
          <w:rFonts w:ascii="Times New Roman" w:eastAsia="Times New Roman"/>
          <w:u w:val="single"/>
        </w:rPr>
        <w:t xml:space="preserve"> </w:t>
      </w:r>
      <w:r>
        <w:rPr>
          <w:rFonts w:ascii="Times New Roman" w:eastAsia="Times New Roman"/>
          <w:u w:val="single"/>
        </w:rPr>
        <w:tab/>
      </w:r>
    </w:p>
    <w:p>
      <w:pPr>
        <w:pStyle w:val="12"/>
        <w:spacing w:before="158" w:line="364" w:lineRule="auto"/>
        <w:ind w:left="760" w:right="995" w:firstLine="420"/>
        <w:jc w:val="both"/>
      </w:pPr>
      <w:r>
        <w:t>2、合同总价包括了货物（包括备品备件）的设计、制造、包装、仓储、运</w:t>
      </w:r>
      <w:r>
        <w:rPr>
          <w:spacing w:val="-10"/>
        </w:rPr>
        <w:t>输、保险以及卖方进行的安装、调试、试运行、验收、培训、技术服务</w:t>
      </w:r>
      <w:r>
        <w:t>（</w:t>
      </w:r>
      <w:r>
        <w:rPr>
          <w:spacing w:val="-5"/>
        </w:rPr>
        <w:t>包括技</w:t>
      </w:r>
      <w:r>
        <w:t>术文件的提供）、质保期保障服务等的全部含税费用。</w:t>
      </w:r>
    </w:p>
    <w:p>
      <w:pPr>
        <w:pStyle w:val="4"/>
        <w:ind w:firstLine="482"/>
      </w:pPr>
      <w:r>
        <w:t>四、产品包装及运输：</w:t>
      </w:r>
    </w:p>
    <w:p>
      <w:pPr>
        <w:spacing w:line="307" w:lineRule="exact"/>
        <w:sectPr>
          <w:footerReference r:id="rId11" w:type="default"/>
          <w:pgSz w:w="11910" w:h="16840"/>
          <w:pgMar w:top="1380" w:right="800" w:bottom="1100" w:left="1040" w:header="924" w:footer="904" w:gutter="0"/>
          <w:cols w:space="720" w:num="1"/>
        </w:sectPr>
      </w:pPr>
    </w:p>
    <w:p>
      <w:pPr>
        <w:pStyle w:val="12"/>
        <w:spacing w:before="75" w:line="362" w:lineRule="auto"/>
        <w:ind w:left="760" w:right="823" w:firstLine="420"/>
      </w:pPr>
      <w:r>
        <w:t>1、乙方所提供的货物必须为制造厂商全新的（原厂原装）产品（含零部件、配件、随机工具、技术文件等），包装外观完好、无破损。</w:t>
      </w:r>
    </w:p>
    <w:p>
      <w:pPr>
        <w:pStyle w:val="12"/>
        <w:spacing w:before="2" w:line="364" w:lineRule="auto"/>
        <w:ind w:left="760" w:right="995" w:firstLine="420"/>
        <w:jc w:val="both"/>
      </w:pPr>
      <w:r>
        <w:t>2、应使用产品标准出厂包装，适合于长途运输方式及气候变化，防潮、防</w:t>
      </w:r>
      <w:r>
        <w:rPr>
          <w:spacing w:val="-8"/>
        </w:rPr>
        <w:t>震、防雨、防锈等。如因包装造成的一切损失</w:t>
      </w:r>
      <w:r>
        <w:rPr>
          <w:spacing w:val="-3"/>
        </w:rPr>
        <w:t>（</w:t>
      </w:r>
      <w:r>
        <w:rPr>
          <w:spacing w:val="-6"/>
        </w:rPr>
        <w:t>包括商品损坏、损失、锈蚀、费</w:t>
      </w:r>
      <w:r>
        <w:t>用增长等），概由乙方负责赔偿。</w:t>
      </w:r>
    </w:p>
    <w:p>
      <w:pPr>
        <w:pStyle w:val="4"/>
        <w:ind w:firstLine="482"/>
      </w:pPr>
      <w:r>
        <w:t>五、质量及技术要求：</w:t>
      </w:r>
    </w:p>
    <w:p>
      <w:pPr>
        <w:pStyle w:val="12"/>
        <w:spacing w:before="161" w:line="362" w:lineRule="auto"/>
        <w:ind w:left="760" w:right="997" w:firstLine="420"/>
      </w:pPr>
      <w:r>
        <w:t>1、乙方所提供的货物必须为全新和未使用过的，货物表面洁净完好、无划伤、无碰撞、无锈迹，并按制造厂商产品的正规渠道订货与进货。</w:t>
      </w:r>
    </w:p>
    <w:p>
      <w:pPr>
        <w:pStyle w:val="12"/>
        <w:spacing w:before="5" w:line="362" w:lineRule="auto"/>
        <w:ind w:left="760" w:right="997" w:firstLine="420"/>
      </w:pPr>
      <w:r>
        <w:t>2、乙方所提供货物的产品性能、技术标准必须符合产品正式说明书和合同的条款，否则作调换处理。</w:t>
      </w:r>
    </w:p>
    <w:p>
      <w:pPr>
        <w:pStyle w:val="12"/>
        <w:spacing w:before="5" w:line="364" w:lineRule="auto"/>
        <w:ind w:left="760" w:right="905" w:firstLine="420"/>
      </w:pPr>
      <w:r>
        <w:t>3、乙方必须在供货同时向甲方提供所有有关本合同执行的技术文件。如果项目必需但合同又未作规定的要乙方才能提供的技术文件，乙方在条件允许的情况下也应及时向甲方提供。技术文件可以是手册、图纸或其他形式的文件资料。上述技术文件应包含保证甲方能够正确进行安装、操作、检查、维修、维护、测试、调试、验收和运作的需要的所有内容。</w:t>
      </w:r>
    </w:p>
    <w:p>
      <w:pPr>
        <w:pStyle w:val="12"/>
        <w:spacing w:line="362" w:lineRule="auto"/>
        <w:ind w:left="760" w:right="997" w:firstLine="420"/>
      </w:pPr>
      <w:r>
        <w:t>4、每台设备上均应钉有铭牌(内容包括：制造商,设备名称、型号规格、序列号(详见设备清单)等)并附有产品质量检验合格标志。</w:t>
      </w:r>
    </w:p>
    <w:p>
      <w:pPr>
        <w:pStyle w:val="12"/>
        <w:spacing w:before="1" w:line="364" w:lineRule="auto"/>
        <w:ind w:left="760" w:right="997" w:firstLine="420"/>
      </w:pPr>
      <w:r>
        <w:t>5、乙方免费提供中文的产品正式说明书，场地准备书，使用手册及维护手册等。</w:t>
      </w:r>
    </w:p>
    <w:p>
      <w:pPr>
        <w:pStyle w:val="4"/>
        <w:ind w:firstLine="480"/>
        <w:rPr>
          <w:spacing w:val="-6"/>
        </w:rPr>
      </w:pPr>
      <w:r>
        <w:rPr>
          <w:b w:val="0"/>
        </w:rPr>
        <w:t>六、交货时间</w:t>
      </w:r>
      <w:r>
        <w:rPr>
          <w:spacing w:val="-6"/>
        </w:rPr>
        <w:t>：</w:t>
      </w:r>
    </w:p>
    <w:p>
      <w:pPr>
        <w:spacing w:line="364" w:lineRule="auto"/>
        <w:ind w:left="1180" w:right="2039"/>
        <w:rPr>
          <w:spacing w:val="-9"/>
          <w:sz w:val="24"/>
        </w:rPr>
      </w:pPr>
      <w:r>
        <w:rPr>
          <w:spacing w:val="-6"/>
          <w:sz w:val="24"/>
        </w:rPr>
        <w:t xml:space="preserve">自双方签订合同之日起 </w:t>
      </w:r>
      <w:r>
        <w:rPr>
          <w:sz w:val="24"/>
          <w:u w:val="single"/>
        </w:rPr>
        <w:t>50</w:t>
      </w:r>
      <w:r>
        <w:rPr>
          <w:spacing w:val="-9"/>
          <w:sz w:val="24"/>
        </w:rPr>
        <w:t xml:space="preserve"> 个日历天内交付使用。</w:t>
      </w:r>
    </w:p>
    <w:p>
      <w:pPr>
        <w:pStyle w:val="4"/>
        <w:ind w:firstLine="480"/>
        <w:rPr>
          <w:b w:val="0"/>
        </w:rPr>
      </w:pPr>
      <w:r>
        <w:rPr>
          <w:b w:val="0"/>
        </w:rPr>
        <w:t>七、交货方式:</w:t>
      </w:r>
    </w:p>
    <w:p>
      <w:pPr>
        <w:spacing w:line="362" w:lineRule="auto"/>
        <w:ind w:left="1180" w:right="3965"/>
        <w:rPr>
          <w:spacing w:val="-1"/>
          <w:sz w:val="24"/>
        </w:rPr>
      </w:pPr>
      <w:r>
        <w:rPr>
          <w:sz w:val="24"/>
        </w:rPr>
        <w:t>1</w:t>
      </w:r>
      <w:r>
        <w:rPr>
          <w:spacing w:val="-1"/>
          <w:sz w:val="24"/>
        </w:rPr>
        <w:t>、由乙方负责将设备运至甲方指定安装地点</w:t>
      </w:r>
    </w:p>
    <w:p>
      <w:pPr>
        <w:pStyle w:val="4"/>
        <w:ind w:firstLine="480"/>
        <w:rPr>
          <w:b w:val="0"/>
        </w:rPr>
      </w:pPr>
      <w:r>
        <w:rPr>
          <w:b w:val="0"/>
        </w:rPr>
        <w:t>八、交货单位、联系人、联系电话：</w:t>
      </w:r>
    </w:p>
    <w:p>
      <w:pPr>
        <w:pStyle w:val="4"/>
        <w:ind w:firstLine="459"/>
      </w:pPr>
      <w:r>
        <w:rPr>
          <w:w w:val="95"/>
        </w:rPr>
        <w:t>九、安装及验收条款(含费用申明)：</w:t>
      </w:r>
    </w:p>
    <w:p>
      <w:pPr>
        <w:pStyle w:val="12"/>
        <w:spacing w:before="160" w:line="364" w:lineRule="auto"/>
        <w:ind w:left="760" w:right="965" w:firstLine="420"/>
        <w:jc w:val="both"/>
      </w:pPr>
      <w:r>
        <w:t>1</w:t>
      </w:r>
      <w:r>
        <w:rPr>
          <w:spacing w:val="-6"/>
        </w:rPr>
        <w:t xml:space="preserve">、乙方应在签订合同后 </w:t>
      </w:r>
      <w:r>
        <w:t>30</w:t>
      </w:r>
      <w:r>
        <w:rPr>
          <w:spacing w:val="-9"/>
        </w:rPr>
        <w:t xml:space="preserve"> 天内向甲方提出产品安装、调试应准备的条件。</w:t>
      </w:r>
      <w:r>
        <w:rPr>
          <w:spacing w:val="-6"/>
        </w:rPr>
        <w:t>乙方必须在测试与验收前，向甲方提供按本合同的技术规格、技术规范的要求进行的测试与验收方案。</w:t>
      </w:r>
    </w:p>
    <w:p>
      <w:pPr>
        <w:pStyle w:val="12"/>
        <w:spacing w:line="364" w:lineRule="auto"/>
        <w:ind w:left="760" w:right="997" w:firstLine="420"/>
        <w:jc w:val="both"/>
      </w:pPr>
      <w:r>
        <w:t>2</w:t>
      </w:r>
      <w:r>
        <w:rPr>
          <w:spacing w:val="-3"/>
        </w:rPr>
        <w:t>、货物抵达甲方后，甲乙双方商定日期</w:t>
      </w:r>
      <w:r>
        <w:t>（</w:t>
      </w:r>
      <w:r>
        <w:rPr>
          <w:spacing w:val="-6"/>
        </w:rPr>
        <w:t xml:space="preserve">至迟不超过货到现场后 </w:t>
      </w:r>
      <w:r>
        <w:t>10</w:t>
      </w:r>
      <w:r>
        <w:rPr>
          <w:spacing w:val="-20"/>
        </w:rPr>
        <w:t xml:space="preserve"> 个工作</w:t>
      </w:r>
      <w:r>
        <w:t>日</w:t>
      </w:r>
      <w:r>
        <w:rPr>
          <w:spacing w:val="-20"/>
        </w:rPr>
        <w:t>），</w:t>
      </w:r>
      <w:r>
        <w:rPr>
          <w:spacing w:val="-6"/>
        </w:rPr>
        <w:t>双方一起开箱验货，不得单方面开箱，由乙方免费现场安装调试。甲方对</w:t>
      </w:r>
      <w:r>
        <w:rPr>
          <w:spacing w:val="-13"/>
        </w:rPr>
        <w:t>货物的外观、数量的验收应在货到现场立刻进行，若有异议应立刻向乙方提出。3</w:t>
      </w:r>
      <w:r>
        <w:rPr>
          <w:spacing w:val="-5"/>
        </w:rPr>
        <w:t>、本合同所指的货物及服务以招标文件和合同项下所述的标准和要求进行</w:t>
      </w:r>
    </w:p>
    <w:p>
      <w:pPr>
        <w:pStyle w:val="12"/>
        <w:spacing w:before="2"/>
        <w:ind w:left="760"/>
      </w:pPr>
      <w:r>
        <w:t>验收，如招标文件与合同的标准和要求有冲突的，以合同文件为准。</w:t>
      </w:r>
    </w:p>
    <w:p>
      <w:pPr>
        <w:pStyle w:val="12"/>
        <w:spacing w:before="161" w:line="364" w:lineRule="auto"/>
        <w:ind w:left="760" w:right="997" w:firstLine="420"/>
      </w:pPr>
      <w:r>
        <w:t>4、甲方有权检验和测试乙方所提供的货物，以确认货物是否符合合同规定的要求，测试及验收工作由甲方组织，检验和测试在货物安装地进行。</w:t>
      </w:r>
    </w:p>
    <w:p>
      <w:pPr>
        <w:pStyle w:val="12"/>
        <w:spacing w:line="306" w:lineRule="exact"/>
        <w:ind w:left="1180"/>
      </w:pPr>
      <w:r>
        <w:t>5</w:t>
      </w:r>
      <w:r>
        <w:rPr>
          <w:spacing w:val="-5"/>
        </w:rPr>
        <w:t xml:space="preserve">、货到甲方指定交货地点 </w:t>
      </w:r>
      <w:r>
        <w:t>10</w:t>
      </w:r>
      <w:r>
        <w:rPr>
          <w:spacing w:val="-10"/>
        </w:rPr>
        <w:t xml:space="preserve"> 个工作日内完成安装调试，货物安装调试完毕</w:t>
      </w:r>
    </w:p>
    <w:p>
      <w:pPr>
        <w:pStyle w:val="12"/>
        <w:spacing w:before="160"/>
        <w:ind w:left="760"/>
        <w:jc w:val="both"/>
      </w:pPr>
      <w:r>
        <w:rPr>
          <w:spacing w:val="-6"/>
        </w:rPr>
        <w:t xml:space="preserve">经甲方试运行正常后 </w:t>
      </w:r>
      <w:r>
        <w:t>3</w:t>
      </w:r>
      <w:r>
        <w:rPr>
          <w:spacing w:val="-13"/>
        </w:rPr>
        <w:t xml:space="preserve"> 日内，由甲方提供验收所需文件清单，并由乙方应备齐后</w:t>
      </w:r>
    </w:p>
    <w:p>
      <w:pPr>
        <w:pStyle w:val="12"/>
        <w:spacing w:before="159" w:line="364" w:lineRule="auto"/>
        <w:ind w:left="760" w:right="997"/>
        <w:jc w:val="both"/>
      </w:pPr>
      <w:r>
        <w:rPr>
          <w:spacing w:val="-8"/>
        </w:rPr>
        <w:t xml:space="preserve">以书面形式提出验收申请。甲方应在收到乙方的验收文件、申请验收后 </w:t>
      </w:r>
      <w:r>
        <w:t>5</w:t>
      </w:r>
      <w:r>
        <w:rPr>
          <w:spacing w:val="-20"/>
        </w:rPr>
        <w:t xml:space="preserve"> 个工作</w:t>
      </w:r>
      <w:r>
        <w:rPr>
          <w:spacing w:val="-9"/>
        </w:rPr>
        <w:t>日内进行审核及确认。甲方确认同意验收的，应将同意验收的书面材料提交给甲</w:t>
      </w:r>
      <w:r>
        <w:rPr>
          <w:spacing w:val="-11"/>
        </w:rPr>
        <w:t>方资产管理部门。甲方资产管理部门收齐验收文件以及甲方同意验收的书面材料</w:t>
      </w:r>
      <w:r>
        <w:t>后十个工作日内进行项目验收。</w:t>
      </w:r>
    </w:p>
    <w:p>
      <w:pPr>
        <w:pStyle w:val="12"/>
        <w:spacing w:line="364" w:lineRule="auto"/>
        <w:ind w:left="760" w:right="877" w:firstLine="420"/>
      </w:pPr>
      <w:r>
        <w:t>6</w:t>
      </w:r>
      <w:r>
        <w:rPr>
          <w:spacing w:val="-5"/>
        </w:rPr>
        <w:t>、甲方根据投标文件及合同的技术要求，对全部设备、产品、型号、规格、</w:t>
      </w:r>
      <w:r>
        <w:rPr>
          <w:spacing w:val="-4"/>
        </w:rPr>
        <w:t>数量及资料、文件</w:t>
      </w:r>
      <w:r>
        <w:t>（</w:t>
      </w:r>
      <w:r>
        <w:rPr>
          <w:spacing w:val="-7"/>
        </w:rPr>
        <w:t>如进货单、装箱单、保修证明、保修单、随箱介质等</w:t>
      </w:r>
      <w:r>
        <w:rPr>
          <w:spacing w:val="-15"/>
        </w:rPr>
        <w:t>）</w:t>
      </w:r>
      <w:r>
        <w:t>进行</w:t>
      </w:r>
      <w:r>
        <w:rPr>
          <w:spacing w:val="-9"/>
        </w:rPr>
        <w:t>检查，所有设备性能指标均符合文件技术要求则视为通过验收。否则乙方应在收</w:t>
      </w:r>
      <w:r>
        <w:rPr>
          <w:spacing w:val="-16"/>
        </w:rPr>
        <w:t xml:space="preserve">到甲方通知后 </w:t>
      </w:r>
      <w:r>
        <w:t>10</w:t>
      </w:r>
      <w:r>
        <w:rPr>
          <w:spacing w:val="-8"/>
        </w:rPr>
        <w:t xml:space="preserve"> 个工作日内解决所有验收中出现的问题并再次申请验收。第二次验收仍未能解决出现的问题的，履约保证金不予归还。</w:t>
      </w:r>
    </w:p>
    <w:p>
      <w:pPr>
        <w:pStyle w:val="12"/>
        <w:spacing w:line="364" w:lineRule="auto"/>
        <w:ind w:left="760" w:right="997" w:firstLine="420"/>
        <w:jc w:val="both"/>
      </w:pPr>
      <w:r>
        <w:t>7</w:t>
      </w:r>
      <w:r>
        <w:rPr>
          <w:spacing w:val="-3"/>
        </w:rPr>
        <w:t xml:space="preserve">、项目文件及实物均验收合格后 </w:t>
      </w:r>
      <w:r>
        <w:t>5</w:t>
      </w:r>
      <w:r>
        <w:rPr>
          <w:spacing w:val="-5"/>
        </w:rPr>
        <w:t xml:space="preserve"> 日内，甲方资产管理部门将出具采购物</w:t>
      </w:r>
      <w:r>
        <w:rPr>
          <w:spacing w:val="-13"/>
        </w:rPr>
        <w:t>资验收报告给乙方。验收合格日期为甲方资产管理部门签署采购物资验收报告的</w:t>
      </w:r>
      <w:r>
        <w:t>日期。</w:t>
      </w:r>
    </w:p>
    <w:p>
      <w:pPr>
        <w:pStyle w:val="4"/>
        <w:ind w:firstLine="482"/>
      </w:pPr>
      <w:r>
        <w:t>十、付款：</w:t>
      </w:r>
    </w:p>
    <w:p>
      <w:pPr>
        <w:pStyle w:val="12"/>
        <w:spacing w:before="156"/>
        <w:ind w:left="1240"/>
      </w:pPr>
      <w:r>
        <w:t>1、合同签订之日起 7 日内，甲方向乙方支付合同总额的 50%作为预付款；</w:t>
      </w:r>
    </w:p>
    <w:p>
      <w:pPr>
        <w:pStyle w:val="12"/>
        <w:spacing w:before="160" w:line="362" w:lineRule="auto"/>
        <w:ind w:left="760" w:right="997" w:firstLine="480"/>
      </w:pPr>
      <w:r>
        <w:t>2</w:t>
      </w:r>
      <w:r>
        <w:rPr>
          <w:spacing w:val="-10"/>
        </w:rPr>
        <w:t xml:space="preserve">、所有货物及服务完成并安装调试验收合格之日起 </w:t>
      </w:r>
      <w:r>
        <w:t>10</w:t>
      </w:r>
      <w:r>
        <w:rPr>
          <w:spacing w:val="-15"/>
        </w:rPr>
        <w:t xml:space="preserve"> 天内，甲方向乙方支</w:t>
      </w:r>
      <w:r>
        <w:rPr>
          <w:spacing w:val="-8"/>
        </w:rPr>
        <w:t xml:space="preserve">付至合同总额的 </w:t>
      </w:r>
      <w:r>
        <w:t>97%；</w:t>
      </w:r>
    </w:p>
    <w:p>
      <w:pPr>
        <w:pStyle w:val="12"/>
        <w:spacing w:before="5" w:line="362" w:lineRule="auto"/>
        <w:ind w:left="760" w:right="997" w:firstLine="480"/>
      </w:pPr>
      <w:r>
        <w:t>3</w:t>
      </w:r>
      <w:r>
        <w:rPr>
          <w:spacing w:val="-14"/>
        </w:rPr>
        <w:t xml:space="preserve">、合同余额 </w:t>
      </w:r>
      <w:r>
        <w:t>3%</w:t>
      </w:r>
      <w:r>
        <w:rPr>
          <w:spacing w:val="-8"/>
        </w:rPr>
        <w:t xml:space="preserve">将作为质保金，在通过验收满 </w:t>
      </w:r>
      <w:r>
        <w:t>12</w:t>
      </w:r>
      <w:r>
        <w:rPr>
          <w:spacing w:val="-20"/>
        </w:rPr>
        <w:t xml:space="preserve"> 个月后的 </w:t>
      </w:r>
      <w:r>
        <w:t>10</w:t>
      </w:r>
      <w:r>
        <w:rPr>
          <w:spacing w:val="-11"/>
        </w:rPr>
        <w:t xml:space="preserve"> 个工作日内由</w:t>
      </w:r>
      <w:r>
        <w:t>甲方向乙方支付（质保金不计利息）。</w:t>
      </w:r>
    </w:p>
    <w:p>
      <w:pPr>
        <w:pStyle w:val="12"/>
        <w:spacing w:before="5"/>
        <w:ind w:left="1240"/>
      </w:pPr>
      <w:r>
        <w:t>4、中标人凭以下有效文件与甲方结算：</w:t>
      </w:r>
    </w:p>
    <w:p>
      <w:pPr>
        <w:pStyle w:val="12"/>
        <w:spacing w:before="12"/>
        <w:rPr>
          <w:sz w:val="20"/>
        </w:rPr>
      </w:pPr>
    </w:p>
    <w:p>
      <w:pPr>
        <w:pStyle w:val="22"/>
        <w:numPr>
          <w:ilvl w:val="0"/>
          <w:numId w:val="72"/>
        </w:numPr>
        <w:tabs>
          <w:tab w:val="left" w:pos="1841"/>
        </w:tabs>
        <w:spacing w:before="1"/>
        <w:rPr>
          <w:sz w:val="24"/>
        </w:rPr>
      </w:pPr>
      <w:r>
        <w:rPr>
          <w:sz w:val="24"/>
        </w:rPr>
        <w:t>合同；</w:t>
      </w:r>
    </w:p>
    <w:p>
      <w:pPr>
        <w:pStyle w:val="22"/>
        <w:numPr>
          <w:ilvl w:val="0"/>
          <w:numId w:val="72"/>
        </w:numPr>
        <w:tabs>
          <w:tab w:val="left" w:pos="1841"/>
        </w:tabs>
        <w:spacing w:before="134"/>
        <w:rPr>
          <w:sz w:val="24"/>
        </w:rPr>
      </w:pPr>
      <w:r>
        <w:rPr>
          <w:sz w:val="24"/>
        </w:rPr>
        <w:t>中标人开具的正式发票；</w:t>
      </w:r>
    </w:p>
    <w:p>
      <w:pPr>
        <w:pStyle w:val="22"/>
        <w:numPr>
          <w:ilvl w:val="0"/>
          <w:numId w:val="72"/>
        </w:numPr>
        <w:tabs>
          <w:tab w:val="left" w:pos="1841"/>
        </w:tabs>
        <w:spacing w:before="131"/>
        <w:rPr>
          <w:sz w:val="24"/>
        </w:rPr>
      </w:pPr>
      <w:r>
        <w:rPr>
          <w:sz w:val="24"/>
        </w:rPr>
        <w:t>中标通知书。</w:t>
      </w:r>
    </w:p>
    <w:p>
      <w:pPr>
        <w:pStyle w:val="4"/>
        <w:ind w:firstLine="482"/>
      </w:pPr>
      <w:r>
        <w:t>十一、质量异议及方式：</w:t>
      </w:r>
    </w:p>
    <w:p>
      <w:pPr>
        <w:pStyle w:val="12"/>
        <w:spacing w:before="75" w:line="362" w:lineRule="auto"/>
        <w:ind w:right="997" w:firstLine="1200" w:firstLineChars="500"/>
      </w:pPr>
      <w:r>
        <w:t>1、质保期内，设备制造质量出现非人为原因造成的问题，乙方核实后提供包修或包换服务，费用由乙方负责。</w:t>
      </w:r>
    </w:p>
    <w:p>
      <w:pPr>
        <w:pStyle w:val="12"/>
        <w:spacing w:before="2" w:line="364" w:lineRule="auto"/>
        <w:ind w:left="760" w:right="997" w:firstLine="420"/>
        <w:jc w:val="both"/>
      </w:pPr>
      <w:r>
        <w:t>2、经甲方对乙方提供的货物及服务进行验收，若发现乙方提供的货物或服</w:t>
      </w:r>
      <w:r>
        <w:rPr>
          <w:spacing w:val="-7"/>
        </w:rPr>
        <w:t>务不符合合同规定的质量要求，甲方可以拒绝接受该货物或服务，并立即通知乙</w:t>
      </w:r>
      <w:r>
        <w:rPr>
          <w:spacing w:val="-10"/>
        </w:rPr>
        <w:t>方，由乙方核实后更换被拒绝的货物或服务，或者免费进行必要的修改以满足合</w:t>
      </w:r>
      <w:r>
        <w:rPr>
          <w:spacing w:val="-5"/>
        </w:rPr>
        <w:t xml:space="preserve">同规定的要求，若乙方在 </w:t>
      </w:r>
      <w:r>
        <w:t>30</w:t>
      </w:r>
      <w:r>
        <w:rPr>
          <w:spacing w:val="-9"/>
        </w:rPr>
        <w:t xml:space="preserve"> 日内，未更换或修改，甲方有权解除合同。甲方拒</w:t>
      </w:r>
      <w:r>
        <w:t>收货物或者解除合同的，合同标的物毁损、丢失的风险由乙方承担。</w:t>
      </w:r>
    </w:p>
    <w:p>
      <w:pPr>
        <w:pStyle w:val="4"/>
        <w:ind w:firstLine="482"/>
      </w:pPr>
      <w:r>
        <w:t>十二、保质期(含费用申明)：</w:t>
      </w:r>
    </w:p>
    <w:p>
      <w:pPr>
        <w:pStyle w:val="12"/>
        <w:spacing w:before="161" w:line="362" w:lineRule="auto"/>
        <w:ind w:left="760" w:right="1000" w:firstLine="480"/>
      </w:pPr>
      <w:r>
        <w:t>乙方对本合同标的提供</w:t>
      </w:r>
      <w:r>
        <w:rPr>
          <w:u w:val="single"/>
        </w:rPr>
        <w:t>壹</w:t>
      </w:r>
      <w:r>
        <w:t>年（人工费+配件）质保期服务，质保期自验收合格之日起计算。</w:t>
      </w:r>
    </w:p>
    <w:p>
      <w:pPr>
        <w:pStyle w:val="4"/>
        <w:ind w:firstLine="482"/>
      </w:pPr>
      <w:r>
        <w:t>十三、售后服务：</w:t>
      </w:r>
    </w:p>
    <w:p>
      <w:pPr>
        <w:pStyle w:val="12"/>
        <w:spacing w:before="158" w:line="364" w:lineRule="auto"/>
        <w:ind w:left="760" w:right="997" w:firstLine="420"/>
        <w:jc w:val="both"/>
      </w:pPr>
      <w:r>
        <w:t>1</w:t>
      </w:r>
      <w:r>
        <w:rPr>
          <w:spacing w:val="-4"/>
        </w:rPr>
        <w:t xml:space="preserve">、在质保期内，中标人在接报后 </w:t>
      </w:r>
      <w:r>
        <w:t>1</w:t>
      </w:r>
      <w:r>
        <w:rPr>
          <w:spacing w:val="-7"/>
        </w:rPr>
        <w:t xml:space="preserve"> 小时内响应，</w:t>
      </w:r>
      <w:r>
        <w:t>4</w:t>
      </w:r>
      <w:r>
        <w:rPr>
          <w:spacing w:val="-7"/>
        </w:rPr>
        <w:t xml:space="preserve"> 小时内到达现场，</w:t>
      </w:r>
      <w:r>
        <w:t>48</w:t>
      </w:r>
      <w:r>
        <w:rPr>
          <w:spacing w:val="-25"/>
        </w:rPr>
        <w:t xml:space="preserve"> 小</w:t>
      </w:r>
      <w:r>
        <w:rPr>
          <w:spacing w:val="-28"/>
        </w:rPr>
        <w:t xml:space="preserve">时内处理完毕。若在 </w:t>
      </w:r>
      <w:r>
        <w:t>48</w:t>
      </w:r>
      <w:r>
        <w:rPr>
          <w:spacing w:val="-9"/>
        </w:rPr>
        <w:t xml:space="preserve"> 小时内仍未能有效解决，中标人须免费提供功能相当的</w:t>
      </w:r>
      <w:r>
        <w:t>设备予采购人临时使用，同时响应招标文件的相关要求。</w:t>
      </w:r>
    </w:p>
    <w:p>
      <w:pPr>
        <w:pStyle w:val="12"/>
        <w:spacing w:line="364" w:lineRule="auto"/>
        <w:ind w:left="760" w:right="997" w:firstLine="420"/>
        <w:jc w:val="both"/>
      </w:pPr>
      <w:r>
        <w:t>2、质保期内对故障的报修，如乙方未能做到上款的服务承诺，甲方可采取</w:t>
      </w:r>
      <w:r>
        <w:rPr>
          <w:spacing w:val="-9"/>
        </w:rPr>
        <w:t>必要的补救措施，但其不可避免的风险和合理的费用由乙方承担，甲方根据合同</w:t>
      </w:r>
      <w:r>
        <w:rPr>
          <w:spacing w:val="-2"/>
        </w:rPr>
        <w:t xml:space="preserve">规定对乙方行使的其它权力不受影响。由于设备故障累计 </w:t>
      </w:r>
      <w:r>
        <w:t>60</w:t>
      </w:r>
      <w:r>
        <w:rPr>
          <w:spacing w:val="-9"/>
        </w:rPr>
        <w:t xml:space="preserve"> 日以上的，质保期</w:t>
      </w:r>
      <w:r>
        <w:t>的到期时间将顺延。</w:t>
      </w:r>
    </w:p>
    <w:p>
      <w:pPr>
        <w:pStyle w:val="12"/>
        <w:spacing w:line="364" w:lineRule="auto"/>
        <w:ind w:left="760" w:right="997" w:firstLine="420"/>
        <w:jc w:val="both"/>
      </w:pPr>
      <w:r>
        <w:t>3</w:t>
      </w:r>
      <w:r>
        <w:rPr>
          <w:spacing w:val="-3"/>
        </w:rPr>
        <w:t xml:space="preserve">、质保期内，同一货物一个月内连续 </w:t>
      </w:r>
      <w:r>
        <w:t>2</w:t>
      </w:r>
      <w:r>
        <w:rPr>
          <w:spacing w:val="-5"/>
        </w:rPr>
        <w:t xml:space="preserve"> 次出现同一影响正常使用的故障， </w:t>
      </w:r>
      <w:r>
        <w:rPr>
          <w:spacing w:val="-10"/>
        </w:rPr>
        <w:t>无条件更换性能指标不低于原规格型号的新部件。严重影响的工作的，无条件提</w:t>
      </w:r>
      <w:r>
        <w:t>供不低于该档次的设备给用户使用。不再向采购人收取任何费用。</w:t>
      </w:r>
    </w:p>
    <w:p>
      <w:pPr>
        <w:pStyle w:val="4"/>
        <w:ind w:firstLine="482"/>
      </w:pPr>
      <w:r>
        <w:t>十四、知识产权、风险转移：</w:t>
      </w:r>
    </w:p>
    <w:p>
      <w:pPr>
        <w:pStyle w:val="12"/>
        <w:spacing w:before="155" w:line="364" w:lineRule="auto"/>
        <w:ind w:left="760" w:right="877" w:firstLine="420"/>
      </w:pPr>
      <w:r>
        <w:t>1</w:t>
      </w:r>
      <w:r>
        <w:rPr>
          <w:spacing w:val="-6"/>
        </w:rPr>
        <w:t>、乙方应保证，甲方在中华人民共和国使用该货物或货物的任何一部分时， 如受第三方提出的侵犯其专利权、商标权或其他知识产权的起诉，由乙方承担相关责任。</w:t>
      </w:r>
    </w:p>
    <w:p>
      <w:pPr>
        <w:pStyle w:val="12"/>
        <w:spacing w:line="307" w:lineRule="exact"/>
        <w:ind w:left="1180"/>
      </w:pPr>
      <w:r>
        <w:t>2、乙方为执行本合同而提供的技术资料、软件的使用权归甲方所有。</w:t>
      </w:r>
    </w:p>
    <w:p>
      <w:pPr>
        <w:pStyle w:val="12"/>
        <w:spacing w:before="158"/>
        <w:ind w:left="1180"/>
      </w:pPr>
      <w:r>
        <w:t>3、乙方交由承运人运输的在途货物，毁损、灭失的风险由乙方承担。</w:t>
      </w:r>
    </w:p>
    <w:p>
      <w:pPr>
        <w:pStyle w:val="12"/>
        <w:spacing w:before="161" w:line="362" w:lineRule="auto"/>
        <w:ind w:left="760" w:right="997" w:firstLine="420"/>
      </w:pPr>
      <w:r>
        <w:t>4、货物的产权，损坏、灭失的风险，在货物交付甲方时起，由乙方转移至甲方。</w:t>
      </w:r>
    </w:p>
    <w:p>
      <w:pPr>
        <w:pStyle w:val="12"/>
        <w:spacing w:before="5"/>
        <w:ind w:left="1180"/>
      </w:pPr>
      <w:r>
        <w:t>5、因货物验收不合格甲方拒收，或双方已解除合同，甲方尽到立即通知义</w:t>
      </w:r>
    </w:p>
    <w:p>
      <w:pPr>
        <w:pStyle w:val="12"/>
        <w:spacing w:before="5"/>
        <w:ind w:left="1180"/>
      </w:pPr>
      <w:r>
        <w:t>务后，货物毁损、灭失的风险由乙方承担。</w:t>
      </w:r>
    </w:p>
    <w:p>
      <w:pPr>
        <w:pStyle w:val="12"/>
        <w:spacing w:before="158" w:line="362" w:lineRule="auto"/>
        <w:ind w:left="760" w:right="997" w:firstLine="420"/>
      </w:pPr>
      <w:r>
        <w:t>6、产权和风险的转移，不影响因乙方履行义务不符合约定，甲方要求其承担违约责任的权利。</w:t>
      </w:r>
    </w:p>
    <w:p>
      <w:pPr>
        <w:pStyle w:val="4"/>
        <w:ind w:firstLine="482"/>
      </w:pPr>
      <w:r>
        <w:t>十五、合同违约、争议解决：</w:t>
      </w:r>
    </w:p>
    <w:p>
      <w:pPr>
        <w:pStyle w:val="12"/>
        <w:spacing w:before="160" w:line="364" w:lineRule="auto"/>
        <w:ind w:left="760" w:right="877" w:firstLine="420"/>
      </w:pPr>
      <w:r>
        <w:t>1</w:t>
      </w:r>
      <w:r>
        <w:rPr>
          <w:spacing w:val="-5"/>
        </w:rPr>
        <w:t xml:space="preserve">、除不可抗力因素外，如果乙方不能按照合同规定的时间交货和提供服务， </w:t>
      </w:r>
      <w:r>
        <w:rPr>
          <w:spacing w:val="-6"/>
        </w:rPr>
        <w:t>应及时以书面形式将延迟的事实、可能延迟的时间和原因通知甲方。甲方收到乙</w:t>
      </w:r>
      <w:r>
        <w:rPr>
          <w:spacing w:val="-11"/>
        </w:rPr>
        <w:t>方通知后，将尽快作出评价，决定是否同意延长交货期及收取误期赔偿费。甲方在不影响合同项下的其它补救措施情况下，可从合同未付款中扣除误期违约金。</w:t>
      </w:r>
      <w:r>
        <w:rPr>
          <w:spacing w:val="-13"/>
        </w:rPr>
        <w:t xml:space="preserve">违约金按迟交货物交货价或未提供服务的服务费用的 </w:t>
      </w:r>
      <w:r>
        <w:t>0.8‰/天计算。误期期限</w:t>
      </w:r>
      <w:r>
        <w:rPr>
          <w:spacing w:val="-28"/>
        </w:rPr>
        <w:t xml:space="preserve">为 </w:t>
      </w:r>
      <w:r>
        <w:t>30</w:t>
      </w:r>
      <w:r>
        <w:rPr>
          <w:spacing w:val="-8"/>
        </w:rPr>
        <w:t xml:space="preserve"> 天，一旦达此限期，甲方有权解除合同。如按上述办法计算的违约金仍不足以补偿因乙方违约造成的损失，甲方有权进一步向乙方提出索赔。</w:t>
      </w:r>
    </w:p>
    <w:p>
      <w:pPr>
        <w:pStyle w:val="12"/>
        <w:spacing w:line="364" w:lineRule="auto"/>
        <w:ind w:left="760" w:right="997" w:firstLine="420"/>
      </w:pPr>
      <w:r>
        <w:t>2、乙方交付的货物不符合合同规定的，甲方有权拒收，并立即通知乙方， 乙方核实后负责调换，否则，乙方向甲方支付合同总金额 10%的违约金。</w:t>
      </w:r>
    </w:p>
    <w:p>
      <w:pPr>
        <w:pStyle w:val="12"/>
        <w:spacing w:line="364" w:lineRule="auto"/>
        <w:ind w:left="760" w:right="997" w:firstLine="420"/>
        <w:jc w:val="both"/>
      </w:pPr>
      <w:r>
        <w:t>3、甲方无正当理由拒收货物，拒付货款的，乙方有权解除合同，并且甲方</w:t>
      </w:r>
      <w:r>
        <w:rPr>
          <w:spacing w:val="-6"/>
        </w:rPr>
        <w:t xml:space="preserve">向乙方偿付合同总金额 </w:t>
      </w:r>
      <w:r>
        <w:t>10%</w:t>
      </w:r>
      <w:r>
        <w:rPr>
          <w:spacing w:val="-6"/>
        </w:rPr>
        <w:t>的违约金；甲方逾期支付货款的，按照未支付货款的</w:t>
      </w:r>
      <w:r>
        <w:t>0.8%/天向乙方支付滞纳金。</w:t>
      </w:r>
    </w:p>
    <w:p>
      <w:pPr>
        <w:pStyle w:val="12"/>
        <w:spacing w:line="362" w:lineRule="auto"/>
        <w:ind w:left="760" w:right="997" w:firstLine="420"/>
      </w:pPr>
      <w:r>
        <w:t>4、双方如有争议应协商解决，协商不成，任何一方可向被告所在地有管辖权的法院提起诉讼。</w:t>
      </w:r>
    </w:p>
    <w:p>
      <w:pPr>
        <w:pStyle w:val="4"/>
        <w:ind w:firstLine="482"/>
      </w:pPr>
      <w:r>
        <w:t>十六、组成本合同的其它文件包括：</w:t>
      </w:r>
    </w:p>
    <w:p>
      <w:pPr>
        <w:pStyle w:val="12"/>
        <w:tabs>
          <w:tab w:val="left" w:pos="3159"/>
          <w:tab w:val="left" w:pos="6008"/>
        </w:tabs>
        <w:spacing w:before="156" w:line="364" w:lineRule="auto"/>
        <w:ind w:left="760" w:right="997" w:firstLine="480"/>
      </w:pPr>
      <w:r>
        <w:rPr>
          <w:rFonts w:ascii="Times New Roman" w:eastAsia="Times New Roman"/>
          <w:u w:val="single"/>
        </w:rPr>
        <w:t xml:space="preserve"> </w:t>
      </w:r>
      <w:r>
        <w:rPr>
          <w:rFonts w:ascii="Times New Roman" w:eastAsia="Times New Roman"/>
          <w:u w:val="single"/>
        </w:rPr>
        <w:tab/>
      </w:r>
      <w:r>
        <w:t>（项目编号</w:t>
      </w:r>
      <w:r>
        <w:rPr>
          <w:spacing w:val="-32"/>
        </w:rPr>
        <w:t>：</w:t>
      </w:r>
      <w:r>
        <w:rPr>
          <w:spacing w:val="-32"/>
          <w:u w:val="single"/>
        </w:rPr>
        <w:t xml:space="preserve"> </w:t>
      </w:r>
      <w:r>
        <w:rPr>
          <w:spacing w:val="-32"/>
          <w:u w:val="single"/>
        </w:rPr>
        <w:tab/>
      </w:r>
      <w:r>
        <w:rPr>
          <w:spacing w:val="-32"/>
        </w:rPr>
        <w:t>）</w:t>
      </w:r>
      <w:r>
        <w:t>的招标文件</w:t>
      </w:r>
      <w:r>
        <w:rPr>
          <w:spacing w:val="-32"/>
        </w:rPr>
        <w:t>、</w:t>
      </w:r>
      <w:r>
        <w:t>乙方的投标</w:t>
      </w:r>
      <w:r>
        <w:rPr>
          <w:spacing w:val="-15"/>
        </w:rPr>
        <w:t>文</w:t>
      </w:r>
      <w:r>
        <w:t>件、承诺及本项目的相关材料。</w:t>
      </w:r>
    </w:p>
    <w:p>
      <w:pPr>
        <w:pStyle w:val="4"/>
        <w:ind w:firstLine="482"/>
      </w:pPr>
      <w:r>
        <w:t>十七、其它约定：</w:t>
      </w:r>
    </w:p>
    <w:p>
      <w:pPr>
        <w:pStyle w:val="12"/>
        <w:spacing w:before="158" w:line="364" w:lineRule="auto"/>
        <w:ind w:left="760" w:right="997" w:firstLine="420"/>
      </w:pPr>
      <w:r>
        <w:t>1、本合同乙方在任何情况下都不得全部或部分转让其应履行的合同义务， 乙方不得将本合同分包给他人。</w:t>
      </w:r>
    </w:p>
    <w:p>
      <w:pPr>
        <w:pStyle w:val="4"/>
        <w:ind w:firstLine="482"/>
      </w:pPr>
      <w:r>
        <w:t>十八、本</w:t>
      </w:r>
      <w:r>
        <w:rPr>
          <w:spacing w:val="4"/>
        </w:rPr>
        <w:t>合</w:t>
      </w:r>
      <w:r>
        <w:t>同</w:t>
      </w:r>
      <w:r>
        <w:rPr>
          <w:spacing w:val="4"/>
        </w:rPr>
        <w:t>一</w:t>
      </w:r>
      <w:r>
        <w:t>式</w:t>
      </w:r>
      <w:r>
        <w:tab/>
      </w:r>
      <w:r>
        <w:t>份</w:t>
      </w:r>
      <w:r>
        <w:rPr>
          <w:spacing w:val="4"/>
        </w:rPr>
        <w:t>，</w:t>
      </w:r>
      <w:r>
        <w:t>甲</w:t>
      </w:r>
      <w:r>
        <w:rPr>
          <w:spacing w:val="4"/>
        </w:rPr>
        <w:t>方</w:t>
      </w:r>
      <w:r>
        <w:t>持</w:t>
      </w:r>
      <w:r>
        <w:tab/>
      </w:r>
      <w:r>
        <w:t>份</w:t>
      </w:r>
      <w:r>
        <w:rPr>
          <w:spacing w:val="4"/>
        </w:rPr>
        <w:t>，</w:t>
      </w:r>
      <w:r>
        <w:t>乙</w:t>
      </w:r>
      <w:r>
        <w:rPr>
          <w:spacing w:val="4"/>
        </w:rPr>
        <w:t>方</w:t>
      </w:r>
      <w:r>
        <w:t>持</w:t>
      </w:r>
      <w:r>
        <w:tab/>
      </w:r>
      <w:r>
        <w:t>份</w:t>
      </w:r>
      <w:r>
        <w:rPr>
          <w:spacing w:val="4"/>
        </w:rPr>
        <w:t>，</w:t>
      </w:r>
      <w:r>
        <w:t>经</w:t>
      </w:r>
      <w:r>
        <w:rPr>
          <w:spacing w:val="4"/>
        </w:rPr>
        <w:t>甲</w:t>
      </w:r>
      <w:r>
        <w:t>乙</w:t>
      </w:r>
      <w:r>
        <w:rPr>
          <w:spacing w:val="4"/>
        </w:rPr>
        <w:t>双</w:t>
      </w:r>
      <w:r>
        <w:t>方签</w:t>
      </w:r>
      <w:r>
        <w:rPr>
          <w:spacing w:val="-12"/>
        </w:rPr>
        <w:t>字</w:t>
      </w:r>
      <w:r>
        <w:t>盖章后生效。</w:t>
      </w:r>
    </w:p>
    <w:p>
      <w:pPr>
        <w:spacing w:line="362" w:lineRule="auto"/>
        <w:ind w:left="760" w:right="970" w:firstLine="480"/>
        <w:rPr>
          <w:b/>
          <w:sz w:val="24"/>
        </w:rPr>
      </w:pPr>
      <w:r>
        <w:rPr>
          <w:b/>
          <w:spacing w:val="3"/>
          <w:w w:val="95"/>
          <w:sz w:val="24"/>
        </w:rPr>
        <w:t xml:space="preserve">兹有甲乙双方在此确认，本合同为甲乙双方合法授权的代表在广州市天河  </w:t>
      </w:r>
      <w:r>
        <w:rPr>
          <w:b/>
          <w:spacing w:val="3"/>
          <w:sz w:val="24"/>
        </w:rPr>
        <w:t>区签订。</w:t>
      </w:r>
    </w:p>
    <w:p>
      <w:pPr>
        <w:spacing w:line="362" w:lineRule="auto"/>
        <w:rPr>
          <w:sz w:val="24"/>
        </w:rPr>
        <w:sectPr>
          <w:pgSz w:w="11910" w:h="16840"/>
          <w:pgMar w:top="1380" w:right="800" w:bottom="1100" w:left="1040" w:header="924" w:footer="904" w:gutter="0"/>
          <w:cols w:space="720" w:num="1"/>
        </w:sectPr>
      </w:pPr>
    </w:p>
    <w:p>
      <w:pPr>
        <w:pStyle w:val="12"/>
        <w:rPr>
          <w:b/>
          <w:sz w:val="20"/>
        </w:rPr>
      </w:pPr>
    </w:p>
    <w:p>
      <w:pPr>
        <w:pStyle w:val="12"/>
        <w:spacing w:before="10"/>
        <w:rPr>
          <w:b/>
        </w:rPr>
      </w:pPr>
    </w:p>
    <w:tbl>
      <w:tblPr>
        <w:tblStyle w:val="19"/>
        <w:tblW w:w="0" w:type="auto"/>
        <w:tblInd w:w="717" w:type="dxa"/>
        <w:tblLayout w:type="fixed"/>
        <w:tblCellMar>
          <w:top w:w="0" w:type="dxa"/>
          <w:left w:w="0" w:type="dxa"/>
          <w:bottom w:w="0" w:type="dxa"/>
          <w:right w:w="0" w:type="dxa"/>
        </w:tblCellMar>
      </w:tblPr>
      <w:tblGrid>
        <w:gridCol w:w="1430"/>
        <w:gridCol w:w="2040"/>
        <w:gridCol w:w="2640"/>
        <w:gridCol w:w="950"/>
      </w:tblGrid>
      <w:tr>
        <w:tblPrEx>
          <w:tblCellMar>
            <w:top w:w="0" w:type="dxa"/>
            <w:left w:w="0" w:type="dxa"/>
            <w:bottom w:w="0" w:type="dxa"/>
            <w:right w:w="0" w:type="dxa"/>
          </w:tblCellMar>
        </w:tblPrEx>
        <w:trPr>
          <w:trHeight w:val="352" w:hRule="atLeast"/>
        </w:trPr>
        <w:tc>
          <w:tcPr>
            <w:tcW w:w="1430" w:type="dxa"/>
          </w:tcPr>
          <w:p>
            <w:pPr>
              <w:pStyle w:val="23"/>
              <w:spacing w:line="274" w:lineRule="exact"/>
              <w:ind w:left="50"/>
              <w:rPr>
                <w:sz w:val="24"/>
              </w:rPr>
            </w:pPr>
            <w:r>
              <w:rPr>
                <w:sz w:val="24"/>
              </w:rPr>
              <w:t>甲方名称:</w:t>
            </w:r>
          </w:p>
        </w:tc>
        <w:tc>
          <w:tcPr>
            <w:tcW w:w="2040" w:type="dxa"/>
          </w:tcPr>
          <w:p>
            <w:pPr>
              <w:pStyle w:val="23"/>
              <w:rPr>
                <w:rFonts w:ascii="Times New Roman"/>
              </w:rPr>
            </w:pPr>
          </w:p>
        </w:tc>
        <w:tc>
          <w:tcPr>
            <w:tcW w:w="2640" w:type="dxa"/>
          </w:tcPr>
          <w:p>
            <w:pPr>
              <w:pStyle w:val="23"/>
              <w:spacing w:line="274" w:lineRule="exact"/>
              <w:ind w:left="1140"/>
              <w:rPr>
                <w:sz w:val="24"/>
              </w:rPr>
            </w:pPr>
            <w:r>
              <w:rPr>
                <w:sz w:val="24"/>
              </w:rPr>
              <w:t>乙方名称:</w:t>
            </w:r>
          </w:p>
        </w:tc>
        <w:tc>
          <w:tcPr>
            <w:tcW w:w="950" w:type="dxa"/>
            <w:vMerge w:val="restart"/>
          </w:tcPr>
          <w:p>
            <w:pPr>
              <w:pStyle w:val="23"/>
              <w:rPr>
                <w:rFonts w:ascii="Times New Roman"/>
              </w:rPr>
            </w:pPr>
          </w:p>
        </w:tc>
      </w:tr>
      <w:tr>
        <w:tblPrEx>
          <w:tblCellMar>
            <w:top w:w="0" w:type="dxa"/>
            <w:left w:w="0" w:type="dxa"/>
            <w:bottom w:w="0" w:type="dxa"/>
            <w:right w:w="0" w:type="dxa"/>
          </w:tblCellMar>
        </w:tblPrEx>
        <w:trPr>
          <w:trHeight w:val="466" w:hRule="atLeast"/>
        </w:trPr>
        <w:tc>
          <w:tcPr>
            <w:tcW w:w="1430" w:type="dxa"/>
          </w:tcPr>
          <w:p>
            <w:pPr>
              <w:pStyle w:val="23"/>
              <w:spacing w:before="79"/>
              <w:ind w:left="50"/>
              <w:rPr>
                <w:sz w:val="24"/>
              </w:rPr>
            </w:pPr>
            <w:r>
              <w:rPr>
                <w:sz w:val="24"/>
              </w:rPr>
              <w:t>单位地址:</w:t>
            </w:r>
          </w:p>
        </w:tc>
        <w:tc>
          <w:tcPr>
            <w:tcW w:w="2040" w:type="dxa"/>
          </w:tcPr>
          <w:p>
            <w:pPr>
              <w:pStyle w:val="23"/>
              <w:rPr>
                <w:rFonts w:ascii="Times New Roman"/>
              </w:rPr>
            </w:pPr>
          </w:p>
        </w:tc>
        <w:tc>
          <w:tcPr>
            <w:tcW w:w="2640" w:type="dxa"/>
          </w:tcPr>
          <w:p>
            <w:pPr>
              <w:pStyle w:val="23"/>
              <w:spacing w:before="79"/>
              <w:ind w:left="1140"/>
              <w:rPr>
                <w:sz w:val="24"/>
              </w:rPr>
            </w:pPr>
            <w:r>
              <w:rPr>
                <w:sz w:val="24"/>
              </w:rPr>
              <w:t>单位地址:</w:t>
            </w:r>
          </w:p>
        </w:tc>
        <w:tc>
          <w:tcPr>
            <w:tcW w:w="950" w:type="dxa"/>
            <w:vMerge w:val="continue"/>
            <w:tcBorders>
              <w:top w:val="nil"/>
            </w:tcBorders>
          </w:tcPr>
          <w:p>
            <w:pPr>
              <w:rPr>
                <w:sz w:val="2"/>
                <w:szCs w:val="2"/>
              </w:rPr>
            </w:pPr>
          </w:p>
        </w:tc>
      </w:tr>
      <w:tr>
        <w:tblPrEx>
          <w:tblCellMar>
            <w:top w:w="0" w:type="dxa"/>
            <w:left w:w="0" w:type="dxa"/>
            <w:bottom w:w="0" w:type="dxa"/>
            <w:right w:w="0" w:type="dxa"/>
          </w:tblCellMar>
        </w:tblPrEx>
        <w:trPr>
          <w:trHeight w:val="467" w:hRule="atLeast"/>
        </w:trPr>
        <w:tc>
          <w:tcPr>
            <w:tcW w:w="1430" w:type="dxa"/>
          </w:tcPr>
          <w:p>
            <w:pPr>
              <w:pStyle w:val="23"/>
              <w:spacing w:before="80"/>
              <w:ind w:left="50"/>
              <w:rPr>
                <w:sz w:val="24"/>
              </w:rPr>
            </w:pPr>
            <w:r>
              <w:rPr>
                <w:sz w:val="24"/>
              </w:rPr>
              <w:t>联系人:</w:t>
            </w:r>
          </w:p>
        </w:tc>
        <w:tc>
          <w:tcPr>
            <w:tcW w:w="2040" w:type="dxa"/>
          </w:tcPr>
          <w:p>
            <w:pPr>
              <w:pStyle w:val="23"/>
              <w:spacing w:before="80"/>
              <w:ind w:left="300"/>
              <w:rPr>
                <w:sz w:val="24"/>
              </w:rPr>
            </w:pPr>
            <w:r>
              <w:rPr>
                <w:sz w:val="24"/>
              </w:rPr>
              <w:t>电话:</w:t>
            </w:r>
          </w:p>
        </w:tc>
        <w:tc>
          <w:tcPr>
            <w:tcW w:w="2640" w:type="dxa"/>
          </w:tcPr>
          <w:p>
            <w:pPr>
              <w:pStyle w:val="23"/>
              <w:spacing w:before="80"/>
              <w:ind w:left="1260"/>
              <w:rPr>
                <w:sz w:val="24"/>
              </w:rPr>
            </w:pPr>
            <w:r>
              <w:rPr>
                <w:sz w:val="24"/>
              </w:rPr>
              <w:t>联系人:</w:t>
            </w:r>
          </w:p>
        </w:tc>
        <w:tc>
          <w:tcPr>
            <w:tcW w:w="950" w:type="dxa"/>
          </w:tcPr>
          <w:p>
            <w:pPr>
              <w:pStyle w:val="23"/>
              <w:spacing w:before="80"/>
              <w:ind w:right="49"/>
              <w:jc w:val="right"/>
              <w:rPr>
                <w:sz w:val="24"/>
              </w:rPr>
            </w:pPr>
            <w:r>
              <w:rPr>
                <w:sz w:val="24"/>
              </w:rPr>
              <w:t>电话:</w:t>
            </w:r>
          </w:p>
        </w:tc>
      </w:tr>
      <w:tr>
        <w:tblPrEx>
          <w:tblCellMar>
            <w:top w:w="0" w:type="dxa"/>
            <w:left w:w="0" w:type="dxa"/>
            <w:bottom w:w="0" w:type="dxa"/>
            <w:right w:w="0" w:type="dxa"/>
          </w:tblCellMar>
        </w:tblPrEx>
        <w:trPr>
          <w:trHeight w:val="466" w:hRule="atLeast"/>
        </w:trPr>
        <w:tc>
          <w:tcPr>
            <w:tcW w:w="1430" w:type="dxa"/>
          </w:tcPr>
          <w:p>
            <w:pPr>
              <w:pStyle w:val="23"/>
              <w:spacing w:before="80"/>
              <w:ind w:left="50"/>
              <w:rPr>
                <w:sz w:val="24"/>
              </w:rPr>
            </w:pPr>
            <w:r>
              <w:rPr>
                <w:sz w:val="24"/>
              </w:rPr>
              <w:t>传真:</w:t>
            </w:r>
          </w:p>
        </w:tc>
        <w:tc>
          <w:tcPr>
            <w:tcW w:w="2040" w:type="dxa"/>
          </w:tcPr>
          <w:p>
            <w:pPr>
              <w:pStyle w:val="23"/>
              <w:spacing w:before="80"/>
              <w:ind w:left="300"/>
              <w:rPr>
                <w:sz w:val="24"/>
              </w:rPr>
            </w:pPr>
            <w:r>
              <w:rPr>
                <w:sz w:val="24"/>
              </w:rPr>
              <w:t>邮编:</w:t>
            </w:r>
          </w:p>
        </w:tc>
        <w:tc>
          <w:tcPr>
            <w:tcW w:w="2640" w:type="dxa"/>
          </w:tcPr>
          <w:p>
            <w:pPr>
              <w:pStyle w:val="23"/>
              <w:spacing w:before="80"/>
              <w:ind w:left="1260"/>
              <w:rPr>
                <w:sz w:val="24"/>
              </w:rPr>
            </w:pPr>
            <w:r>
              <w:rPr>
                <w:sz w:val="24"/>
              </w:rPr>
              <w:t>传真:</w:t>
            </w:r>
          </w:p>
        </w:tc>
        <w:tc>
          <w:tcPr>
            <w:tcW w:w="950" w:type="dxa"/>
          </w:tcPr>
          <w:p>
            <w:pPr>
              <w:pStyle w:val="23"/>
              <w:spacing w:before="80"/>
              <w:ind w:right="49"/>
              <w:jc w:val="right"/>
              <w:rPr>
                <w:sz w:val="24"/>
              </w:rPr>
            </w:pPr>
            <w:r>
              <w:rPr>
                <w:sz w:val="24"/>
              </w:rPr>
              <w:t>邮编:</w:t>
            </w:r>
          </w:p>
        </w:tc>
      </w:tr>
      <w:tr>
        <w:tblPrEx>
          <w:tblCellMar>
            <w:top w:w="0" w:type="dxa"/>
            <w:left w:w="0" w:type="dxa"/>
            <w:bottom w:w="0" w:type="dxa"/>
            <w:right w:w="0" w:type="dxa"/>
          </w:tblCellMar>
        </w:tblPrEx>
        <w:trPr>
          <w:trHeight w:val="466" w:hRule="atLeast"/>
        </w:trPr>
        <w:tc>
          <w:tcPr>
            <w:tcW w:w="1430" w:type="dxa"/>
          </w:tcPr>
          <w:p>
            <w:pPr>
              <w:pStyle w:val="23"/>
              <w:spacing w:before="79"/>
              <w:ind w:left="50"/>
              <w:rPr>
                <w:sz w:val="24"/>
              </w:rPr>
            </w:pPr>
            <w:r>
              <w:rPr>
                <w:sz w:val="24"/>
              </w:rPr>
              <w:t>开户银行:</w:t>
            </w:r>
          </w:p>
        </w:tc>
        <w:tc>
          <w:tcPr>
            <w:tcW w:w="2040" w:type="dxa"/>
          </w:tcPr>
          <w:p>
            <w:pPr>
              <w:pStyle w:val="23"/>
              <w:rPr>
                <w:rFonts w:ascii="Times New Roman"/>
              </w:rPr>
            </w:pPr>
          </w:p>
        </w:tc>
        <w:tc>
          <w:tcPr>
            <w:tcW w:w="2640" w:type="dxa"/>
          </w:tcPr>
          <w:p>
            <w:pPr>
              <w:pStyle w:val="23"/>
              <w:spacing w:before="79"/>
              <w:ind w:right="299"/>
              <w:jc w:val="right"/>
              <w:rPr>
                <w:sz w:val="24"/>
              </w:rPr>
            </w:pPr>
            <w:r>
              <w:rPr>
                <w:sz w:val="24"/>
              </w:rPr>
              <w:t>开户银行:</w:t>
            </w:r>
          </w:p>
        </w:tc>
        <w:tc>
          <w:tcPr>
            <w:tcW w:w="950" w:type="dxa"/>
          </w:tcPr>
          <w:p>
            <w:pPr>
              <w:pStyle w:val="23"/>
              <w:rPr>
                <w:rFonts w:ascii="Times New Roman"/>
              </w:rPr>
            </w:pPr>
          </w:p>
        </w:tc>
      </w:tr>
      <w:tr>
        <w:tblPrEx>
          <w:tblCellMar>
            <w:top w:w="0" w:type="dxa"/>
            <w:left w:w="0" w:type="dxa"/>
            <w:bottom w:w="0" w:type="dxa"/>
            <w:right w:w="0" w:type="dxa"/>
          </w:tblCellMar>
        </w:tblPrEx>
        <w:trPr>
          <w:trHeight w:val="354" w:hRule="atLeast"/>
        </w:trPr>
        <w:tc>
          <w:tcPr>
            <w:tcW w:w="1430" w:type="dxa"/>
          </w:tcPr>
          <w:p>
            <w:pPr>
              <w:pStyle w:val="23"/>
              <w:spacing w:before="80" w:line="254" w:lineRule="exact"/>
              <w:ind w:left="50"/>
              <w:rPr>
                <w:sz w:val="24"/>
              </w:rPr>
            </w:pPr>
            <w:r>
              <w:rPr>
                <w:sz w:val="24"/>
              </w:rPr>
              <w:t>银行帐号:</w:t>
            </w:r>
          </w:p>
        </w:tc>
        <w:tc>
          <w:tcPr>
            <w:tcW w:w="2040" w:type="dxa"/>
          </w:tcPr>
          <w:p>
            <w:pPr>
              <w:pStyle w:val="23"/>
              <w:rPr>
                <w:rFonts w:ascii="Times New Roman"/>
              </w:rPr>
            </w:pPr>
          </w:p>
        </w:tc>
        <w:tc>
          <w:tcPr>
            <w:tcW w:w="2640" w:type="dxa"/>
          </w:tcPr>
          <w:p>
            <w:pPr>
              <w:pStyle w:val="23"/>
              <w:spacing w:before="80" w:line="254" w:lineRule="exact"/>
              <w:ind w:right="299"/>
              <w:jc w:val="right"/>
              <w:rPr>
                <w:sz w:val="24"/>
              </w:rPr>
            </w:pPr>
            <w:r>
              <w:rPr>
                <w:sz w:val="24"/>
              </w:rPr>
              <w:t>银行帐号:</w:t>
            </w:r>
          </w:p>
        </w:tc>
        <w:tc>
          <w:tcPr>
            <w:tcW w:w="950" w:type="dxa"/>
          </w:tcPr>
          <w:p>
            <w:pPr>
              <w:pStyle w:val="23"/>
              <w:rPr>
                <w:rFonts w:ascii="Times New Roman"/>
              </w:rPr>
            </w:pPr>
          </w:p>
        </w:tc>
      </w:tr>
    </w:tbl>
    <w:p>
      <w:pPr>
        <w:pStyle w:val="12"/>
        <w:spacing w:before="10"/>
        <w:rPr>
          <w:b/>
          <w:sz w:val="9"/>
        </w:rPr>
      </w:pPr>
    </w:p>
    <w:p>
      <w:pPr>
        <w:pStyle w:val="12"/>
        <w:tabs>
          <w:tab w:val="left" w:pos="5439"/>
        </w:tabs>
        <w:spacing w:before="66"/>
        <w:ind w:left="760"/>
      </w:pPr>
      <w:r>
        <w:t>法定（授权）代表人:</w:t>
      </w:r>
      <w:r>
        <w:tab/>
      </w:r>
      <w:r>
        <w:t>法定（授权）代表人:</w:t>
      </w:r>
    </w:p>
    <w:p>
      <w:pPr>
        <w:pStyle w:val="12"/>
        <w:tabs>
          <w:tab w:val="left" w:pos="5439"/>
        </w:tabs>
        <w:spacing w:before="161"/>
        <w:ind w:left="760"/>
      </w:pPr>
      <w:r>
        <w:t>签订日期、</w:t>
      </w:r>
      <w:r>
        <w:tab/>
      </w:r>
      <w:r>
        <w:t>签订日期、</w:t>
      </w:r>
    </w:p>
    <w:p>
      <w:pPr>
        <w:pStyle w:val="12"/>
        <w:tabs>
          <w:tab w:val="left" w:pos="5439"/>
        </w:tabs>
        <w:spacing w:before="158"/>
        <w:ind w:left="760"/>
      </w:pPr>
      <w:r>
        <w:t>甲方盖章</w:t>
      </w:r>
      <w:r>
        <w:tab/>
      </w:r>
      <w:r>
        <w:t>乙方盖章</w:t>
      </w:r>
    </w:p>
    <w:p>
      <w:pPr>
        <w:sectPr>
          <w:pgSz w:w="11910" w:h="16840"/>
          <w:pgMar w:top="1380" w:right="800" w:bottom="1100" w:left="1040" w:header="924" w:footer="904" w:gutter="0"/>
          <w:cols w:space="720" w:num="1"/>
        </w:sectPr>
      </w:pPr>
    </w:p>
    <w:p>
      <w:pPr>
        <w:pStyle w:val="3"/>
        <w:ind w:left="0"/>
      </w:pPr>
      <w:bookmarkStart w:id="94" w:name="第六章_投标文件格式"/>
      <w:bookmarkEnd w:id="94"/>
      <w:bookmarkStart w:id="95" w:name="_Toc18956"/>
      <w:r>
        <w:t>第</w:t>
      </w:r>
      <w:r>
        <w:rPr>
          <w:rFonts w:hint="eastAsia"/>
          <w:lang w:val="en-US"/>
        </w:rPr>
        <w:t>五</w:t>
      </w:r>
      <w:r>
        <w:t>章 投标文件格式</w:t>
      </w:r>
      <w:bookmarkEnd w:id="95"/>
    </w:p>
    <w:p>
      <w:pPr>
        <w:sectPr>
          <w:pgSz w:w="11910" w:h="16840"/>
          <w:pgMar w:top="1380" w:right="800" w:bottom="1100" w:left="1040" w:header="924" w:footer="904" w:gutter="0"/>
          <w:cols w:space="720" w:num="1"/>
        </w:sectPr>
      </w:pPr>
    </w:p>
    <w:p>
      <w:pPr>
        <w:pStyle w:val="12"/>
        <w:spacing w:before="7"/>
        <w:rPr>
          <w:b/>
          <w:sz w:val="52"/>
          <w:szCs w:val="56"/>
        </w:rPr>
      </w:pPr>
    </w:p>
    <w:p>
      <w:pPr>
        <w:jc w:val="center"/>
        <w:rPr>
          <w:b/>
          <w:bCs/>
          <w:sz w:val="52"/>
          <w:szCs w:val="52"/>
        </w:rPr>
      </w:pPr>
      <w:bookmarkStart w:id="96" w:name="_Toc15894"/>
      <w:r>
        <w:rPr>
          <w:rFonts w:hint="eastAsia"/>
          <w:b/>
          <w:bCs/>
          <w:sz w:val="52"/>
          <w:szCs w:val="52"/>
        </w:rPr>
        <w:t>广州市杂技艺术剧院有限责任公司小剧场舞台机械改造</w:t>
      </w:r>
      <w:bookmarkEnd w:id="96"/>
    </w:p>
    <w:p/>
    <w:p/>
    <w:p/>
    <w:p>
      <w:pPr>
        <w:jc w:val="center"/>
        <w:rPr>
          <w:sz w:val="44"/>
          <w:szCs w:val="44"/>
        </w:rPr>
      </w:pPr>
      <w:bookmarkStart w:id="97" w:name="_Toc25288"/>
    </w:p>
    <w:p>
      <w:pPr>
        <w:jc w:val="center"/>
        <w:rPr>
          <w:sz w:val="44"/>
          <w:szCs w:val="44"/>
        </w:rPr>
      </w:pPr>
    </w:p>
    <w:p>
      <w:pPr>
        <w:jc w:val="center"/>
        <w:rPr>
          <w:b/>
          <w:bCs/>
          <w:sz w:val="44"/>
          <w:szCs w:val="44"/>
        </w:rPr>
      </w:pPr>
      <w:r>
        <w:rPr>
          <w:rFonts w:hint="eastAsia"/>
          <w:b/>
          <w:bCs/>
          <w:sz w:val="44"/>
          <w:szCs w:val="44"/>
        </w:rPr>
        <w:t>投标文件</w:t>
      </w:r>
      <w:bookmarkEnd w:id="97"/>
    </w:p>
    <w:p/>
    <w:p>
      <w:pPr>
        <w:jc w:val="center"/>
      </w:pPr>
      <w:bookmarkStart w:id="98" w:name="_Toc20911"/>
      <w:r>
        <w:t>（正本/副本）</w:t>
      </w:r>
      <w:bookmarkEnd w:id="98"/>
    </w:p>
    <w:p/>
    <w:p>
      <w:pPr>
        <w:jc w:val="center"/>
      </w:pPr>
      <w:bookmarkStart w:id="99" w:name="_Toc402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p>
    <w:bookmarkEnd w:id="99"/>
    <w:p/>
    <w:p>
      <w:pPr>
        <w:ind w:left="3300" w:leftChars="1500"/>
        <w:jc w:val="both"/>
        <w:rPr>
          <w:sz w:val="28"/>
          <w:szCs w:val="28"/>
        </w:rPr>
      </w:pPr>
      <w:bookmarkStart w:id="100" w:name="_Toc4200"/>
      <w:r>
        <w:rPr>
          <w:sz w:val="28"/>
          <w:szCs w:val="28"/>
        </w:rPr>
        <w:t>投标人名称：</w:t>
      </w:r>
      <w:bookmarkEnd w:id="100"/>
    </w:p>
    <w:p>
      <w:pPr>
        <w:ind w:left="3300" w:leftChars="1500"/>
        <w:jc w:val="both"/>
        <w:rPr>
          <w:sz w:val="28"/>
          <w:szCs w:val="28"/>
        </w:rPr>
      </w:pPr>
      <w:bookmarkStart w:id="101" w:name="_Toc3383"/>
      <w:r>
        <w:rPr>
          <w:sz w:val="28"/>
          <w:szCs w:val="28"/>
        </w:rPr>
        <w:t>日期：</w:t>
      </w:r>
      <w:r>
        <w:rPr>
          <w:sz w:val="28"/>
          <w:szCs w:val="28"/>
        </w:rPr>
        <w:tab/>
      </w:r>
      <w:r>
        <w:rPr>
          <w:sz w:val="28"/>
          <w:szCs w:val="28"/>
        </w:rPr>
        <w:t>年</w:t>
      </w:r>
      <w:r>
        <w:rPr>
          <w:sz w:val="28"/>
          <w:szCs w:val="28"/>
        </w:rPr>
        <w:tab/>
      </w:r>
      <w:r>
        <w:rPr>
          <w:sz w:val="28"/>
          <w:szCs w:val="28"/>
        </w:rPr>
        <w:t>月</w:t>
      </w:r>
      <w:r>
        <w:rPr>
          <w:sz w:val="28"/>
          <w:szCs w:val="28"/>
        </w:rPr>
        <w:tab/>
      </w:r>
      <w:r>
        <w:rPr>
          <w:sz w:val="28"/>
          <w:szCs w:val="28"/>
        </w:rPr>
        <w:t>日</w:t>
      </w:r>
      <w:bookmarkEnd w:id="101"/>
    </w:p>
    <w:p>
      <w:pPr>
        <w:rPr>
          <w:sz w:val="28"/>
        </w:rPr>
        <w:sectPr>
          <w:pgSz w:w="11910" w:h="16840"/>
          <w:pgMar w:top="1380" w:right="800" w:bottom="1100" w:left="1040" w:header="924" w:footer="904" w:gutter="0"/>
          <w:cols w:space="720" w:num="1"/>
        </w:sectPr>
      </w:pPr>
    </w:p>
    <w:p>
      <w:pPr>
        <w:pStyle w:val="12"/>
        <w:rPr>
          <w:sz w:val="20"/>
        </w:rPr>
      </w:pPr>
    </w:p>
    <w:p>
      <w:pPr>
        <w:spacing w:line="360" w:lineRule="auto"/>
        <w:jc w:val="center"/>
        <w:rPr>
          <w:b/>
          <w:sz w:val="32"/>
          <w:szCs w:val="32"/>
        </w:rPr>
      </w:pPr>
      <w:bookmarkStart w:id="102" w:name="第一部分__自查表"/>
      <w:bookmarkEnd w:id="102"/>
      <w:r>
        <w:rPr>
          <w:rFonts w:hint="eastAsia"/>
          <w:b/>
          <w:sz w:val="32"/>
          <w:szCs w:val="32"/>
        </w:rPr>
        <w:t>投标文件目录</w:t>
      </w:r>
    </w:p>
    <w:p>
      <w:pPr>
        <w:spacing w:line="360" w:lineRule="auto"/>
        <w:rPr>
          <w:sz w:val="32"/>
          <w:szCs w:val="32"/>
        </w:rPr>
      </w:pPr>
    </w:p>
    <w:p>
      <w:pPr>
        <w:spacing w:line="360" w:lineRule="auto"/>
        <w:rPr>
          <w:szCs w:val="21"/>
        </w:rPr>
      </w:pPr>
      <w:r>
        <w:rPr>
          <w:rFonts w:hint="eastAsia"/>
          <w:szCs w:val="21"/>
        </w:rPr>
        <w:t>一、  索引表</w:t>
      </w:r>
    </w:p>
    <w:p>
      <w:pPr>
        <w:spacing w:line="360" w:lineRule="auto"/>
        <w:rPr>
          <w:szCs w:val="21"/>
        </w:rPr>
      </w:pPr>
      <w:r>
        <w:fldChar w:fldCharType="begin"/>
      </w:r>
      <w:r>
        <w:instrText xml:space="preserve"> HYPERLINK \l "_Toc175110017" </w:instrText>
      </w:r>
      <w:r>
        <w:fldChar w:fldCharType="separate"/>
      </w:r>
      <w:r>
        <w:rPr>
          <w:rFonts w:hint="eastAsia"/>
          <w:szCs w:val="21"/>
        </w:rPr>
        <w:t>二、</w:t>
      </w:r>
      <w:r>
        <w:rPr>
          <w:szCs w:val="21"/>
        </w:rPr>
        <w:t xml:space="preserve">  </w:t>
      </w:r>
      <w:r>
        <w:rPr>
          <w:szCs w:val="21"/>
        </w:rPr>
        <w:fldChar w:fldCharType="end"/>
      </w:r>
      <w:r>
        <w:rPr>
          <w:rFonts w:hint="eastAsia"/>
          <w:szCs w:val="21"/>
        </w:rPr>
        <w:t>资格部分</w:t>
      </w:r>
    </w:p>
    <w:p>
      <w:pPr>
        <w:spacing w:line="360" w:lineRule="auto"/>
        <w:rPr>
          <w:szCs w:val="21"/>
        </w:rPr>
      </w:pPr>
      <w:r>
        <w:rPr>
          <w:rFonts w:hint="eastAsia"/>
          <w:szCs w:val="21"/>
        </w:rPr>
        <w:t>三、  商务部分</w:t>
      </w:r>
    </w:p>
    <w:p>
      <w:pPr>
        <w:spacing w:line="360" w:lineRule="auto"/>
        <w:rPr>
          <w:szCs w:val="21"/>
        </w:rPr>
      </w:pPr>
      <w:r>
        <w:rPr>
          <w:rFonts w:hint="eastAsia"/>
          <w:szCs w:val="21"/>
        </w:rPr>
        <w:t>四、  技术部分</w:t>
      </w:r>
    </w:p>
    <w:p>
      <w:pPr>
        <w:spacing w:line="360" w:lineRule="auto"/>
        <w:ind w:left="770" w:hanging="770" w:hangingChars="350"/>
        <w:rPr>
          <w:szCs w:val="21"/>
        </w:rPr>
      </w:pPr>
      <w:r>
        <w:rPr>
          <w:rFonts w:hint="eastAsia"/>
          <w:szCs w:val="21"/>
        </w:rPr>
        <w:t>注：1. 请投标人按照以下文件的要求格式、内容，顺序制作投标文件，并请编制目录及页码，否则可能将影响对投标文件的评价。（本部分内容仅为方便投标人编制投标文件而设置的格式，本部分内容表述如与本文件其他部分表述不一致的，以其他部分的内容表述为准。）</w:t>
      </w:r>
    </w:p>
    <w:p>
      <w:pPr>
        <w:spacing w:line="360" w:lineRule="auto"/>
        <w:rPr>
          <w:szCs w:val="21"/>
        </w:rPr>
      </w:pPr>
      <w:r>
        <w:rPr>
          <w:rFonts w:hint="eastAsia"/>
          <w:szCs w:val="21"/>
        </w:rPr>
        <w:t xml:space="preserve">    2. 开标一览表封另单独分装，按以下顺序装订：</w:t>
      </w:r>
    </w:p>
    <w:p>
      <w:pPr>
        <w:spacing w:line="360" w:lineRule="auto"/>
      </w:pPr>
      <w:r>
        <w:rPr>
          <w:rFonts w:hint="eastAsia"/>
          <w:szCs w:val="21"/>
        </w:rPr>
        <w:t xml:space="preserve">       2.1 开标一览表</w:t>
      </w:r>
    </w:p>
    <w:p>
      <w:pPr>
        <w:spacing w:line="360" w:lineRule="auto"/>
      </w:pPr>
      <w:r>
        <w:rPr>
          <w:rFonts w:hint="eastAsia"/>
        </w:rPr>
        <w:t xml:space="preserve">       2.2 法定代表人授权书</w:t>
      </w:r>
    </w:p>
    <w:p>
      <w:pPr>
        <w:rPr>
          <w:b/>
        </w:rPr>
      </w:pPr>
      <w:r>
        <w:rPr>
          <w:rFonts w:hint="eastAsia"/>
          <w:b/>
        </w:rPr>
        <w:br w:type="page"/>
      </w:r>
    </w:p>
    <w:p>
      <w:pPr>
        <w:pStyle w:val="4"/>
        <w:spacing w:before="240"/>
        <w:ind w:left="420" w:firstLine="482"/>
        <w:jc w:val="both"/>
      </w:pPr>
      <w:bookmarkStart w:id="103" w:name="_Toc23426"/>
      <w:r>
        <w:rPr>
          <w:rFonts w:hint="eastAsia"/>
        </w:rPr>
        <w:t>第一部分：索引表</w:t>
      </w:r>
      <w:bookmarkEnd w:id="103"/>
    </w:p>
    <w:p>
      <w:pPr>
        <w:pStyle w:val="5"/>
        <w:tabs>
          <w:tab w:val="left" w:pos="851"/>
        </w:tabs>
      </w:pPr>
      <w:bookmarkStart w:id="104" w:name="_Toc293950831"/>
      <w:bookmarkStart w:id="105" w:name="_Toc292376310"/>
      <w:r>
        <w:rPr>
          <w:rFonts w:hint="eastAsia"/>
        </w:rPr>
        <w:t>1.1、评审索引表</w:t>
      </w:r>
      <w:bookmarkEnd w:id="104"/>
      <w:bookmarkEnd w:id="105"/>
    </w:p>
    <w:p>
      <w:pPr>
        <w:jc w:val="center"/>
        <w:rPr>
          <w:b/>
          <w:sz w:val="24"/>
        </w:rPr>
      </w:pPr>
      <w:bookmarkStart w:id="106" w:name="_Toc3767"/>
    </w:p>
    <w:p>
      <w:pPr>
        <w:spacing w:line="360" w:lineRule="auto"/>
        <w:ind w:left="1010" w:leftChars="100" w:hanging="790" w:hangingChars="328"/>
        <w:rPr>
          <w:b/>
          <w:sz w:val="24"/>
        </w:rPr>
      </w:pPr>
      <w:r>
        <w:rPr>
          <w:rFonts w:hint="eastAsia"/>
          <w:b/>
          <w:sz w:val="24"/>
        </w:rPr>
        <w:t>附件1-1：符合性审查索引表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5966"/>
        <w:gridCol w:w="18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ind w:left="-125" w:leftChars="-57"/>
              <w:jc w:val="center"/>
              <w:rPr>
                <w:b/>
              </w:rPr>
            </w:pPr>
            <w:r>
              <w:rPr>
                <w:rFonts w:hint="eastAsia"/>
                <w:b/>
              </w:rPr>
              <w:t>序号</w:t>
            </w:r>
          </w:p>
        </w:tc>
        <w:tc>
          <w:tcPr>
            <w:tcW w:w="5966" w:type="dxa"/>
            <w:vAlign w:val="center"/>
          </w:tcPr>
          <w:p>
            <w:pPr>
              <w:jc w:val="center"/>
              <w:rPr>
                <w:b/>
                <w:szCs w:val="21"/>
              </w:rPr>
            </w:pPr>
            <w:r>
              <w:rPr>
                <w:rFonts w:hint="eastAsia"/>
                <w:b/>
                <w:szCs w:val="21"/>
              </w:rPr>
              <w:t>符合性审查内容</w:t>
            </w:r>
          </w:p>
        </w:tc>
        <w:tc>
          <w:tcPr>
            <w:tcW w:w="1871" w:type="dxa"/>
            <w:vAlign w:val="center"/>
          </w:tcPr>
          <w:p>
            <w:pPr>
              <w:jc w:val="center"/>
              <w:rPr>
                <w:b/>
                <w:szCs w:val="21"/>
              </w:rPr>
            </w:pPr>
            <w:r>
              <w:rPr>
                <w:rFonts w:hint="eastAsia"/>
                <w:b/>
                <w:szCs w:val="21"/>
              </w:rPr>
              <w:t>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jc w:val="center"/>
            </w:pPr>
            <w:r>
              <w:rPr>
                <w:rFonts w:hint="eastAsia"/>
              </w:rPr>
              <w:t>1</w:t>
            </w:r>
          </w:p>
        </w:tc>
        <w:tc>
          <w:tcPr>
            <w:tcW w:w="5966" w:type="dxa"/>
          </w:tcPr>
          <w:p>
            <w:pPr>
              <w:pStyle w:val="23"/>
              <w:spacing w:before="12"/>
              <w:rPr>
                <w:b/>
                <w:sz w:val="15"/>
              </w:rPr>
            </w:pPr>
          </w:p>
          <w:p>
            <w:pPr>
              <w:pStyle w:val="23"/>
              <w:ind w:left="102"/>
              <w:rPr>
                <w:szCs w:val="21"/>
              </w:rPr>
            </w:pPr>
            <w:r>
              <w:rPr>
                <w:sz w:val="21"/>
              </w:rPr>
              <w:t>符合投标有效期</w:t>
            </w:r>
          </w:p>
        </w:tc>
        <w:tc>
          <w:tcPr>
            <w:tcW w:w="1871" w:type="dxa"/>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jc w:val="center"/>
            </w:pPr>
            <w:r>
              <w:rPr>
                <w:rFonts w:hint="eastAsia"/>
              </w:rPr>
              <w:t>2</w:t>
            </w:r>
          </w:p>
        </w:tc>
        <w:tc>
          <w:tcPr>
            <w:tcW w:w="5966" w:type="dxa"/>
          </w:tcPr>
          <w:p>
            <w:pPr>
              <w:pStyle w:val="23"/>
              <w:spacing w:before="2"/>
              <w:rPr>
                <w:b/>
                <w:sz w:val="16"/>
              </w:rPr>
            </w:pPr>
          </w:p>
          <w:p>
            <w:pPr>
              <w:pStyle w:val="23"/>
              <w:ind w:left="102"/>
              <w:rPr>
                <w:szCs w:val="21"/>
              </w:rPr>
            </w:pPr>
            <w:r>
              <w:rPr>
                <w:sz w:val="21"/>
              </w:rPr>
              <w:t>投标文件按照招标文件规定要求签署、盖章</w:t>
            </w:r>
          </w:p>
        </w:tc>
        <w:tc>
          <w:tcPr>
            <w:tcW w:w="1871" w:type="dxa"/>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jc w:val="center"/>
            </w:pPr>
            <w:r>
              <w:rPr>
                <w:rFonts w:hint="eastAsia"/>
              </w:rPr>
              <w:t>3</w:t>
            </w:r>
          </w:p>
        </w:tc>
        <w:tc>
          <w:tcPr>
            <w:tcW w:w="5966" w:type="dxa"/>
          </w:tcPr>
          <w:p>
            <w:pPr>
              <w:pStyle w:val="23"/>
              <w:spacing w:before="12"/>
              <w:rPr>
                <w:b/>
                <w:sz w:val="15"/>
              </w:rPr>
            </w:pPr>
          </w:p>
          <w:p>
            <w:pPr>
              <w:pStyle w:val="23"/>
              <w:ind w:left="102"/>
              <w:rPr>
                <w:szCs w:val="21"/>
              </w:rPr>
            </w:pPr>
            <w:r>
              <w:rPr>
                <w:sz w:val="21"/>
              </w:rPr>
              <w:t>投标报价没有超出最高限价</w:t>
            </w:r>
          </w:p>
        </w:tc>
        <w:tc>
          <w:tcPr>
            <w:tcW w:w="1871" w:type="dxa"/>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jc w:val="center"/>
            </w:pPr>
            <w:r>
              <w:rPr>
                <w:rFonts w:hint="eastAsia"/>
              </w:rPr>
              <w:t>4</w:t>
            </w:r>
          </w:p>
        </w:tc>
        <w:tc>
          <w:tcPr>
            <w:tcW w:w="5966" w:type="dxa"/>
          </w:tcPr>
          <w:p>
            <w:pPr>
              <w:pStyle w:val="23"/>
              <w:rPr>
                <w:b/>
                <w:sz w:val="16"/>
              </w:rPr>
            </w:pPr>
          </w:p>
          <w:p>
            <w:pPr>
              <w:pStyle w:val="23"/>
              <w:ind w:left="102"/>
              <w:rPr>
                <w:szCs w:val="21"/>
              </w:rPr>
            </w:pPr>
            <w:r>
              <w:rPr>
                <w:sz w:val="21"/>
              </w:rPr>
              <w:t>完全满足招标文件中标注“★”的条款</w:t>
            </w:r>
          </w:p>
        </w:tc>
        <w:tc>
          <w:tcPr>
            <w:tcW w:w="1871" w:type="dxa"/>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3" w:type="dxa"/>
            <w:vAlign w:val="center"/>
          </w:tcPr>
          <w:p>
            <w:pPr>
              <w:jc w:val="center"/>
            </w:pPr>
            <w:r>
              <w:rPr>
                <w:rFonts w:hint="eastAsia"/>
              </w:rPr>
              <w:t>5</w:t>
            </w:r>
          </w:p>
        </w:tc>
        <w:tc>
          <w:tcPr>
            <w:tcW w:w="5966" w:type="dxa"/>
          </w:tcPr>
          <w:p>
            <w:pPr>
              <w:pStyle w:val="23"/>
              <w:spacing w:before="44"/>
              <w:ind w:left="102"/>
              <w:rPr>
                <w:sz w:val="21"/>
              </w:rPr>
            </w:pPr>
            <w:r>
              <w:rPr>
                <w:sz w:val="21"/>
              </w:rPr>
              <w:t>未出现有关法律、法规、规章或招标文件规定的属于</w:t>
            </w:r>
          </w:p>
          <w:p>
            <w:pPr>
              <w:pStyle w:val="23"/>
              <w:spacing w:before="57"/>
              <w:ind w:left="102"/>
              <w:rPr>
                <w:szCs w:val="21"/>
              </w:rPr>
            </w:pPr>
            <w:r>
              <w:rPr>
                <w:sz w:val="21"/>
              </w:rPr>
              <w:t>投标无效的情形</w:t>
            </w:r>
          </w:p>
        </w:tc>
        <w:tc>
          <w:tcPr>
            <w:tcW w:w="1871" w:type="dxa"/>
            <w:vAlign w:val="center"/>
          </w:tcPr>
          <w:p>
            <w:pPr>
              <w:rPr>
                <w:szCs w:val="21"/>
              </w:rPr>
            </w:pPr>
          </w:p>
        </w:tc>
      </w:tr>
    </w:tbl>
    <w:p>
      <w:pPr>
        <w:spacing w:line="360" w:lineRule="auto"/>
        <w:ind w:left="1010" w:leftChars="100" w:hanging="790" w:hangingChars="328"/>
        <w:rPr>
          <w:b/>
          <w:sz w:val="24"/>
        </w:rPr>
      </w:pPr>
    </w:p>
    <w:p>
      <w:pPr>
        <w:spacing w:line="360" w:lineRule="auto"/>
        <w:ind w:left="1010" w:leftChars="100" w:hanging="790" w:hangingChars="328"/>
        <w:rPr>
          <w:b/>
          <w:sz w:val="24"/>
        </w:rPr>
      </w:pPr>
      <w:r>
        <w:rPr>
          <w:rFonts w:hint="eastAsia"/>
          <w:b/>
          <w:sz w:val="24"/>
        </w:rPr>
        <w:t>附件1-2：资格性审查索引表</w:t>
      </w:r>
    </w:p>
    <w:tbl>
      <w:tblPr>
        <w:tblStyle w:val="19"/>
        <w:tblW w:w="0" w:type="auto"/>
        <w:tblInd w:w="73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738"/>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360" w:lineRule="auto"/>
              <w:ind w:left="-125" w:leftChars="-57"/>
              <w:jc w:val="center"/>
              <w:rPr>
                <w:b/>
                <w:szCs w:val="21"/>
              </w:rPr>
            </w:pPr>
            <w:r>
              <w:rPr>
                <w:rFonts w:hint="eastAsia"/>
                <w:b/>
                <w:szCs w:val="21"/>
              </w:rPr>
              <w:t>序号</w:t>
            </w:r>
          </w:p>
        </w:tc>
        <w:tc>
          <w:tcPr>
            <w:tcW w:w="6738" w:type="dxa"/>
            <w:vAlign w:val="center"/>
          </w:tcPr>
          <w:p>
            <w:pPr>
              <w:jc w:val="center"/>
              <w:rPr>
                <w:b/>
                <w:szCs w:val="21"/>
              </w:rPr>
            </w:pPr>
            <w:r>
              <w:rPr>
                <w:rFonts w:hint="eastAsia"/>
                <w:b/>
                <w:szCs w:val="21"/>
              </w:rPr>
              <w:t>资格性审查内容</w:t>
            </w:r>
          </w:p>
        </w:tc>
        <w:tc>
          <w:tcPr>
            <w:tcW w:w="1362" w:type="dxa"/>
            <w:vAlign w:val="center"/>
          </w:tcPr>
          <w:p>
            <w:pPr>
              <w:spacing w:line="360" w:lineRule="auto"/>
              <w:jc w:val="center"/>
              <w:rPr>
                <w:b/>
                <w:szCs w:val="21"/>
              </w:rPr>
            </w:pPr>
            <w:r>
              <w:rPr>
                <w:rFonts w:hint="eastAsia"/>
                <w:b/>
                <w:szCs w:val="21"/>
              </w:rPr>
              <w:t>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rPr>
              <w:t>1</w:t>
            </w:r>
          </w:p>
        </w:tc>
        <w:tc>
          <w:tcPr>
            <w:tcW w:w="6738" w:type="dxa"/>
            <w:vAlign w:val="center"/>
          </w:tcPr>
          <w:p>
            <w:pPr>
              <w:spacing w:line="276" w:lineRule="auto"/>
              <w:rPr>
                <w:bCs/>
                <w:szCs w:val="20"/>
              </w:rPr>
            </w:pPr>
            <w:r>
              <w:rPr>
                <w:rFonts w:hint="eastAsia"/>
                <w:bCs/>
                <w:szCs w:val="20"/>
              </w:rPr>
              <w:t>符合《中华人民共和国政府采购法》第二十二条及《中华人民共和国政府采购法实施条例》第十七条的规定：</w:t>
            </w:r>
          </w:p>
          <w:p>
            <w:pPr>
              <w:spacing w:line="276" w:lineRule="auto"/>
              <w:ind w:left="426"/>
              <w:rPr>
                <w:bCs/>
                <w:szCs w:val="20"/>
              </w:rPr>
            </w:pPr>
            <w:r>
              <w:rPr>
                <w:rFonts w:hint="eastAsia"/>
                <w:bCs/>
                <w:szCs w:val="20"/>
              </w:rPr>
              <w:t>1）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w:t>
            </w:r>
          </w:p>
          <w:p>
            <w:pPr>
              <w:spacing w:line="276" w:lineRule="auto"/>
              <w:ind w:left="426"/>
              <w:rPr>
                <w:bCs/>
                <w:szCs w:val="20"/>
              </w:rPr>
            </w:pPr>
            <w:r>
              <w:rPr>
                <w:rFonts w:hint="eastAsia"/>
                <w:bCs/>
                <w:szCs w:val="20"/>
              </w:rPr>
              <w:t>2）提供</w:t>
            </w:r>
            <w:r>
              <w:rPr>
                <w:bCs/>
                <w:szCs w:val="20"/>
              </w:rPr>
              <w:t xml:space="preserve"> 2018 年或 2019 年财务状况报告复印件或银行出具的资信证明材料复印件，(新成立公司提供成立至今的月或季度财务报表复印件)或银行出具的资信证明；</w:t>
            </w:r>
          </w:p>
          <w:p>
            <w:pPr>
              <w:spacing w:line="276" w:lineRule="auto"/>
              <w:ind w:left="426"/>
              <w:rPr>
                <w:bCs/>
                <w:szCs w:val="20"/>
              </w:rPr>
            </w:pPr>
            <w:r>
              <w:rPr>
                <w:rFonts w:hint="eastAsia"/>
                <w:bCs/>
                <w:szCs w:val="20"/>
              </w:rPr>
              <w:t>3）具有履行合同所必需的设备和专业技术能力，提供资格声明函；</w:t>
            </w:r>
          </w:p>
          <w:p>
            <w:pPr>
              <w:spacing w:line="276" w:lineRule="auto"/>
              <w:ind w:left="426"/>
              <w:rPr>
                <w:bCs/>
                <w:szCs w:val="20"/>
              </w:rPr>
            </w:pPr>
            <w:r>
              <w:rPr>
                <w:rFonts w:hint="eastAsia"/>
                <w:bCs/>
                <w:szCs w:val="20"/>
              </w:rPr>
              <w:t xml:space="preserve">4）提供 </w:t>
            </w:r>
            <w:r>
              <w:rPr>
                <w:rFonts w:hint="eastAsia"/>
                <w:bCs/>
                <w:szCs w:val="20"/>
                <w:lang w:val="en-US"/>
              </w:rPr>
              <w:t>2020</w:t>
            </w:r>
            <w:r>
              <w:rPr>
                <w:rFonts w:hint="eastAsia"/>
                <w:bCs/>
                <w:szCs w:val="20"/>
              </w:rPr>
              <w:t xml:space="preserve"> 年任意一个月的依法缴纳税收的证明（如纳税凭证）复印件，如依法免税的，应提供相应文件证明其依法免税</w:t>
            </w:r>
          </w:p>
          <w:p>
            <w:pPr>
              <w:spacing w:line="276" w:lineRule="auto"/>
              <w:ind w:left="426"/>
              <w:rPr>
                <w:bCs/>
                <w:szCs w:val="20"/>
              </w:rPr>
            </w:pPr>
            <w:r>
              <w:rPr>
                <w:rFonts w:hint="eastAsia"/>
                <w:bCs/>
                <w:szCs w:val="20"/>
              </w:rPr>
              <w:t xml:space="preserve">5）提供 </w:t>
            </w:r>
            <w:r>
              <w:rPr>
                <w:rFonts w:hint="eastAsia"/>
                <w:bCs/>
                <w:szCs w:val="20"/>
                <w:lang w:val="en-US"/>
              </w:rPr>
              <w:t>2020</w:t>
            </w:r>
            <w:r>
              <w:rPr>
                <w:rFonts w:hint="eastAsia"/>
                <w:bCs/>
                <w:szCs w:val="20"/>
              </w:rPr>
              <w:t xml:space="preserve"> 年任意一个月的依法缴纳社会保险的证明（如缴费凭证）复印件，如依法不需要缴纳社会保障资金的，应提供相应文件证明其依法不需要缴纳社会保障资金</w:t>
            </w:r>
          </w:p>
          <w:p>
            <w:pPr>
              <w:spacing w:line="276" w:lineRule="auto"/>
              <w:ind w:left="426"/>
              <w:rPr>
                <w:bCs/>
                <w:szCs w:val="20"/>
              </w:rPr>
            </w:pPr>
            <w:r>
              <w:rPr>
                <w:rFonts w:hint="eastAsia"/>
                <w:bCs/>
                <w:szCs w:val="20"/>
              </w:rPr>
              <w:t>6）参加政府采购活动前三年内，在经营活动中没有重大违法记录，提供资格声明函；</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rPr>
              <w:t>2</w:t>
            </w:r>
          </w:p>
        </w:tc>
        <w:tc>
          <w:tcPr>
            <w:tcW w:w="6738" w:type="dxa"/>
            <w:vAlign w:val="center"/>
          </w:tcPr>
          <w:p>
            <w:pPr>
              <w:spacing w:line="276" w:lineRule="auto"/>
              <w:rPr>
                <w:kern w:val="28"/>
              </w:rPr>
            </w:pPr>
            <w:r>
              <w:rPr>
                <w:rFonts w:hint="eastAsia"/>
                <w:kern w:val="28"/>
              </w:rPr>
              <w:t>未列入失信被执行人、重大税收违法案件当事人名单、政府采购严重违法失信行为记录名单的供应商（以开标当日资格审查人员在“信用中国”网站（</w:t>
            </w:r>
            <w:r>
              <w:fldChar w:fldCharType="begin"/>
            </w:r>
            <w:r>
              <w:instrText xml:space="preserve"> HYPERLINK "qq://txfile/" \h </w:instrText>
            </w:r>
            <w:r>
              <w:fldChar w:fldCharType="separate"/>
            </w:r>
            <w:r>
              <w:rPr>
                <w:rFonts w:hint="eastAsia"/>
                <w:kern w:val="28"/>
              </w:rPr>
              <w:t>www.creditchina.gov.cn</w:t>
            </w:r>
            <w:r>
              <w:rPr>
                <w:rFonts w:hint="eastAsia"/>
                <w:kern w:val="28"/>
              </w:rPr>
              <w:fldChar w:fldCharType="end"/>
            </w:r>
            <w:r>
              <w:rPr>
                <w:rFonts w:hint="eastAsia"/>
                <w:kern w:val="28"/>
              </w:rPr>
              <w:t>）、中国政府采购网（</w:t>
            </w:r>
            <w:r>
              <w:fldChar w:fldCharType="begin"/>
            </w:r>
            <w:r>
              <w:instrText xml:space="preserve"> HYPERLINK "qq://txfile/" \h </w:instrText>
            </w:r>
            <w:r>
              <w:fldChar w:fldCharType="separate"/>
            </w:r>
            <w:r>
              <w:rPr>
                <w:rFonts w:hint="eastAsia"/>
                <w:kern w:val="28"/>
              </w:rPr>
              <w:t>www.ccgp.gov.cn</w:t>
            </w:r>
            <w:r>
              <w:rPr>
                <w:rFonts w:hint="eastAsia"/>
                <w:kern w:val="28"/>
              </w:rPr>
              <w:fldChar w:fldCharType="end"/>
            </w:r>
            <w:r>
              <w:rPr>
                <w:rFonts w:hint="eastAsia"/>
                <w:kern w:val="28"/>
              </w:rPr>
              <w:t>）的查询结果为准；处罚期限届满的除外。如“信用中国”网站查询结果显示“没有找到您搜索的企业”或“没有找到您搜索数据”，视为没有上述三类不良信用记录）</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rPr>
              <w:t>3</w:t>
            </w:r>
          </w:p>
        </w:tc>
        <w:tc>
          <w:tcPr>
            <w:tcW w:w="6738" w:type="dxa"/>
            <w:vAlign w:val="center"/>
          </w:tcPr>
          <w:p>
            <w:pPr>
              <w:spacing w:line="276" w:lineRule="auto"/>
              <w:rPr>
                <w:bCs/>
                <w:szCs w:val="20"/>
              </w:rPr>
            </w:pPr>
            <w:r>
              <w:rPr>
                <w:rFonts w:hint="eastAsia"/>
                <w:bCs/>
                <w:szCs w:val="20"/>
              </w:rPr>
              <w:t>投标人须提供《公平竞争承诺书》原件，</w:t>
            </w:r>
            <w:r>
              <w:rPr>
                <w:rFonts w:hint="eastAsia"/>
                <w:szCs w:val="21"/>
                <w:highlight w:val="white"/>
              </w:rPr>
              <w:t>详见投标文件格式 2.3</w:t>
            </w:r>
            <w:r>
              <w:rPr>
                <w:rFonts w:hint="eastAsia"/>
                <w:bCs/>
                <w:szCs w:val="20"/>
              </w:rPr>
              <w:t>《公平竞争承诺书》。</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rPr>
              <w:t>4</w:t>
            </w:r>
          </w:p>
        </w:tc>
        <w:tc>
          <w:tcPr>
            <w:tcW w:w="6738" w:type="dxa"/>
            <w:vAlign w:val="center"/>
          </w:tcPr>
          <w:p>
            <w:pPr>
              <w:spacing w:line="276" w:lineRule="auto"/>
              <w:rPr>
                <w:szCs w:val="21"/>
              </w:rPr>
            </w:pPr>
            <w:r>
              <w:rPr>
                <w:rFonts w:hint="eastAsia"/>
                <w:szCs w:val="21"/>
              </w:rPr>
              <w:t>不得参与同一采购项目竞争的供应商（提供资格声明函）：</w:t>
            </w:r>
          </w:p>
          <w:p>
            <w:pPr>
              <w:spacing w:line="276" w:lineRule="auto"/>
              <w:rPr>
                <w:szCs w:val="21"/>
              </w:rPr>
            </w:pPr>
            <w:r>
              <w:rPr>
                <w:rFonts w:hint="eastAsia"/>
                <w:szCs w:val="21"/>
              </w:rPr>
              <w:t>1）单位负责人为同一人或者存在直接控股、管理关系的不同供应商，不得参加同一包组投标或者未划分包组的同一招标项目的政府采购活动。如同时参加，则评审时均作无效投标处理。</w:t>
            </w:r>
          </w:p>
          <w:p>
            <w:pPr>
              <w:spacing w:line="276" w:lineRule="auto"/>
              <w:rPr>
                <w:szCs w:val="21"/>
              </w:rPr>
            </w:pPr>
            <w:r>
              <w:rPr>
                <w:rFonts w:hint="eastAsia"/>
                <w:szCs w:val="21"/>
              </w:rPr>
              <w:t>2）为采购项目提供整体设计、规范编制或者项目管理、监理、检测等服务的供应商，不得再参加该采购项目的其他采购活动。</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lang w:val="en-US"/>
              </w:rPr>
              <w:t>5</w:t>
            </w:r>
          </w:p>
        </w:tc>
        <w:tc>
          <w:tcPr>
            <w:tcW w:w="6738" w:type="dxa"/>
            <w:vAlign w:val="center"/>
          </w:tcPr>
          <w:p>
            <w:pPr>
              <w:spacing w:line="276" w:lineRule="auto"/>
              <w:rPr>
                <w:szCs w:val="21"/>
              </w:rPr>
            </w:pPr>
            <w:r>
              <w:rPr>
                <w:rFonts w:hint="eastAsia"/>
                <w:szCs w:val="21"/>
              </w:rPr>
              <w:t>投标人具有建筑机电安装工程专业承包三级或以上资质，或机电工程施工总承包三级或以上资质。</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pPr>
            <w:r>
              <w:rPr>
                <w:rFonts w:hint="eastAsia"/>
              </w:rPr>
              <w:t>6</w:t>
            </w:r>
          </w:p>
        </w:tc>
        <w:tc>
          <w:tcPr>
            <w:tcW w:w="6738" w:type="dxa"/>
            <w:vAlign w:val="center"/>
          </w:tcPr>
          <w:p>
            <w:pPr>
              <w:spacing w:line="276" w:lineRule="auto"/>
              <w:rPr>
                <w:szCs w:val="21"/>
              </w:rPr>
            </w:pPr>
            <w:r>
              <w:rPr>
                <w:rFonts w:hint="eastAsia"/>
                <w:szCs w:val="21"/>
              </w:rPr>
              <w:t>本项目</w:t>
            </w:r>
            <w:r>
              <w:rPr>
                <w:rFonts w:hint="eastAsia"/>
                <w:szCs w:val="21"/>
                <w:lang w:val="en-US"/>
              </w:rPr>
              <w:t>不</w:t>
            </w:r>
            <w:r>
              <w:rPr>
                <w:rFonts w:hint="eastAsia"/>
                <w:szCs w:val="21"/>
              </w:rPr>
              <w:t>接受联合体投标。</w:t>
            </w:r>
          </w:p>
        </w:tc>
        <w:tc>
          <w:tcPr>
            <w:tcW w:w="1362"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9" w:type="dxa"/>
            <w:vAlign w:val="center"/>
          </w:tcPr>
          <w:p>
            <w:pPr>
              <w:spacing w:line="276" w:lineRule="auto"/>
              <w:jc w:val="center"/>
              <w:rPr>
                <w:lang w:val="en-US"/>
              </w:rPr>
            </w:pPr>
            <w:r>
              <w:rPr>
                <w:rFonts w:hint="eastAsia"/>
                <w:lang w:val="en-US"/>
              </w:rPr>
              <w:t>7</w:t>
            </w:r>
          </w:p>
        </w:tc>
        <w:tc>
          <w:tcPr>
            <w:tcW w:w="6738" w:type="dxa"/>
            <w:vAlign w:val="center"/>
          </w:tcPr>
          <w:p>
            <w:pPr>
              <w:spacing w:line="276" w:lineRule="auto"/>
              <w:rPr>
                <w:szCs w:val="21"/>
              </w:rPr>
            </w:pPr>
            <w:r>
              <w:rPr>
                <w:rFonts w:hint="eastAsia"/>
                <w:szCs w:val="21"/>
              </w:rPr>
              <w:t>已</w:t>
            </w:r>
            <w:r>
              <w:rPr>
                <w:rFonts w:hint="eastAsia"/>
              </w:rPr>
              <w:t>登记报名并获取了招标文件。</w:t>
            </w:r>
          </w:p>
        </w:tc>
        <w:tc>
          <w:tcPr>
            <w:tcW w:w="1362" w:type="dxa"/>
            <w:vAlign w:val="center"/>
          </w:tcPr>
          <w:p>
            <w:pPr>
              <w:spacing w:line="276" w:lineRule="auto"/>
              <w:rPr>
                <w:szCs w:val="21"/>
              </w:rPr>
            </w:pPr>
          </w:p>
        </w:tc>
      </w:tr>
    </w:tbl>
    <w:p>
      <w:pPr>
        <w:tabs>
          <w:tab w:val="left" w:pos="0"/>
          <w:tab w:val="center" w:pos="210"/>
          <w:tab w:val="center" w:pos="630"/>
        </w:tabs>
        <w:spacing w:line="360" w:lineRule="auto"/>
        <w:rPr>
          <w:b/>
          <w:sz w:val="24"/>
        </w:rPr>
      </w:pPr>
    </w:p>
    <w:p>
      <w:pPr>
        <w:tabs>
          <w:tab w:val="left" w:pos="0"/>
          <w:tab w:val="center" w:pos="210"/>
          <w:tab w:val="center" w:pos="630"/>
        </w:tabs>
        <w:spacing w:line="360" w:lineRule="auto"/>
        <w:rPr>
          <w:b/>
          <w:sz w:val="24"/>
        </w:rPr>
      </w:pPr>
      <w:r>
        <w:rPr>
          <w:rFonts w:hint="eastAsia"/>
          <w:b/>
          <w:sz w:val="24"/>
        </w:rPr>
        <w:t>附件1-3：商务部分评审索引表</w:t>
      </w:r>
    </w:p>
    <w:bookmarkEnd w:id="106"/>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48"/>
        <w:gridCol w:w="892"/>
        <w:gridCol w:w="597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序号</w:t>
            </w:r>
          </w:p>
        </w:tc>
        <w:tc>
          <w:tcPr>
            <w:tcW w:w="1348"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评审项目</w:t>
            </w:r>
          </w:p>
        </w:tc>
        <w:tc>
          <w:tcPr>
            <w:tcW w:w="892"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分值</w:t>
            </w:r>
          </w:p>
        </w:tc>
        <w:tc>
          <w:tcPr>
            <w:tcW w:w="5974"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kern w:val="2"/>
                <w:sz w:val="21"/>
                <w:szCs w:val="21"/>
              </w:rPr>
            </w:pPr>
            <w:r>
              <w:rPr>
                <w:rFonts w:hint="eastAsia" w:ascii="宋体" w:hAnsi="宋体"/>
                <w:b/>
                <w:sz w:val="21"/>
                <w:szCs w:val="21"/>
              </w:rPr>
              <w:t>评分细则</w:t>
            </w:r>
          </w:p>
        </w:tc>
        <w:tc>
          <w:tcPr>
            <w:tcW w:w="746"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b/>
                <w:sz w:val="21"/>
                <w:szCs w:val="21"/>
              </w:rPr>
            </w:pPr>
            <w:r>
              <w:rPr>
                <w:rFonts w:hint="eastAsia" w:ascii="宋体" w:hAnsi="宋体"/>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1"/>
                <w:szCs w:val="21"/>
              </w:rPr>
            </w:pPr>
            <w:r>
              <w:rPr>
                <w:rFonts w:hint="eastAsia" w:ascii="宋体" w:hAnsi="宋体"/>
                <w:sz w:val="21"/>
                <w:szCs w:val="21"/>
              </w:rPr>
              <w:t>1</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lang w:val="en-US"/>
              </w:rPr>
              <w:t>企业资质</w:t>
            </w:r>
          </w:p>
        </w:tc>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rPr>
                <w:snapToGrid w:val="0"/>
                <w:szCs w:val="21"/>
              </w:rPr>
            </w:pPr>
            <w:r>
              <w:rPr>
                <w:rFonts w:hint="eastAsia"/>
                <w:color w:val="000000"/>
                <w:sz w:val="20"/>
                <w:szCs w:val="20"/>
                <w:lang w:val="en-US" w:bidi="ar"/>
              </w:rPr>
              <w:t>9</w:t>
            </w:r>
            <w:r>
              <w:rPr>
                <w:rFonts w:hint="eastAsia"/>
                <w:color w:val="000000"/>
                <w:sz w:val="20"/>
                <w:szCs w:val="20"/>
                <w:lang w:bidi="ar"/>
              </w:rPr>
              <w:t>分</w:t>
            </w:r>
          </w:p>
        </w:tc>
        <w:tc>
          <w:tcPr>
            <w:tcW w:w="5974" w:type="dxa"/>
            <w:tcBorders>
              <w:top w:val="single" w:color="auto" w:sz="4" w:space="0"/>
              <w:left w:val="single" w:color="auto" w:sz="4" w:space="0"/>
              <w:bottom w:val="single" w:color="auto" w:sz="4" w:space="0"/>
              <w:right w:val="single" w:color="auto" w:sz="4" w:space="0"/>
            </w:tcBorders>
            <w:vAlign w:val="center"/>
          </w:tcPr>
          <w:p>
            <w:pPr>
              <w:tabs>
                <w:tab w:val="left" w:pos="945"/>
              </w:tabs>
              <w:spacing w:line="360" w:lineRule="auto"/>
              <w:rPr>
                <w:sz w:val="20"/>
              </w:rPr>
            </w:pPr>
            <w:r>
              <w:rPr>
                <w:rFonts w:hint="eastAsia"/>
                <w:sz w:val="20"/>
              </w:rPr>
              <w:t>（</w:t>
            </w:r>
            <w:r>
              <w:rPr>
                <w:rFonts w:hint="eastAsia"/>
                <w:sz w:val="20"/>
                <w:lang w:val="en-US"/>
              </w:rPr>
              <w:t>1</w:t>
            </w:r>
            <w:r>
              <w:rPr>
                <w:rFonts w:hint="eastAsia"/>
                <w:sz w:val="20"/>
              </w:rPr>
              <w:t>）投标人获得“专业舞台灯光设计、安装及调试”甲级资质证书的。得 3 分；</w:t>
            </w:r>
          </w:p>
          <w:p>
            <w:pPr>
              <w:tabs>
                <w:tab w:val="left" w:pos="945"/>
              </w:tabs>
              <w:spacing w:line="360" w:lineRule="auto"/>
            </w:pPr>
            <w:r>
              <w:rPr>
                <w:rFonts w:hint="eastAsia"/>
                <w:sz w:val="20"/>
              </w:rPr>
              <w:t>（2）投标人获得“专业舞台机械设计、安装及调试”甲级资质证书的。得 3 分；</w:t>
            </w:r>
          </w:p>
          <w:p>
            <w:pPr>
              <w:pStyle w:val="2"/>
              <w:ind w:firstLine="0" w:firstLineChars="0"/>
              <w:rPr>
                <w:szCs w:val="21"/>
              </w:rPr>
            </w:pPr>
            <w:r>
              <w:rPr>
                <w:rFonts w:hint="eastAsia"/>
              </w:rPr>
              <w:t>（3）</w:t>
            </w:r>
            <w:r>
              <w:rPr>
                <w:rFonts w:hint="eastAsia"/>
                <w:lang w:val="en-US"/>
              </w:rPr>
              <w:t>投标人具有行业协会授予的舞台机械工程综合技术能力等级一级证书或专业舞台机械设计安装及调试资质等级甲级证书的，得3分。</w:t>
            </w:r>
          </w:p>
        </w:tc>
        <w:tc>
          <w:tcPr>
            <w:tcW w:w="746"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27" w:type="dxa"/>
            <w:tcBorders>
              <w:left w:val="single" w:color="auto" w:sz="4" w:space="0"/>
              <w:bottom w:val="single" w:color="auto" w:sz="4" w:space="0"/>
              <w:right w:val="single" w:color="auto" w:sz="4" w:space="0"/>
            </w:tcBorders>
            <w:vAlign w:val="center"/>
          </w:tcPr>
          <w:p>
            <w:pPr>
              <w:pStyle w:val="27"/>
              <w:rPr>
                <w:rFonts w:ascii="宋体" w:hAnsi="宋体"/>
                <w:sz w:val="21"/>
                <w:szCs w:val="21"/>
              </w:rPr>
            </w:pPr>
            <w:r>
              <w:rPr>
                <w:rFonts w:hint="eastAsia" w:ascii="宋体" w:hAnsi="宋体"/>
                <w:sz w:val="21"/>
                <w:szCs w:val="21"/>
              </w:rPr>
              <w:t>2</w:t>
            </w:r>
          </w:p>
        </w:tc>
        <w:tc>
          <w:tcPr>
            <w:tcW w:w="1348"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sz w:val="21"/>
                <w:szCs w:val="21"/>
              </w:rPr>
            </w:pPr>
            <w:r>
              <w:rPr>
                <w:rFonts w:hint="eastAsia" w:ascii="宋体" w:hAnsi="宋体"/>
                <w:sz w:val="21"/>
                <w:szCs w:val="21"/>
              </w:rPr>
              <w:t>企业认证情况</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rPr>
              <w:t>6</w:t>
            </w:r>
            <w:r>
              <w:rPr>
                <w:rFonts w:hint="eastAsia"/>
                <w:szCs w:val="21"/>
              </w:rPr>
              <w:t>分</w:t>
            </w:r>
          </w:p>
        </w:tc>
        <w:tc>
          <w:tcPr>
            <w:tcW w:w="59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szCs w:val="21"/>
              </w:rPr>
            </w:pPr>
            <w:r>
              <w:rPr>
                <w:rFonts w:hint="eastAsia"/>
                <w:szCs w:val="21"/>
                <w:lang w:val="en-US"/>
              </w:rPr>
              <w:t>投标人具有由国家认证认可监督管理部门批准设立的认证机构颁发的质量管理体系认证证书、职业健康安全管理体系认证证书、环境管理体系认证证书，证书需在有效期内，且体系覆盖范围包含舞台专业设备安装，满足以上要求的每项得2分，满分得6分。</w:t>
            </w:r>
          </w:p>
          <w:p>
            <w:pPr>
              <w:widowControl/>
              <w:spacing w:line="360" w:lineRule="auto"/>
              <w:rPr>
                <w:szCs w:val="21"/>
              </w:rPr>
            </w:pPr>
            <w:r>
              <w:rPr>
                <w:rFonts w:hint="eastAsia"/>
                <w:szCs w:val="21"/>
                <w:lang w:val="en-US"/>
              </w:rPr>
              <w:t>注：提供有效证书复印件及全国认证认可信息公共服务平台网上查询截图。</w:t>
            </w:r>
          </w:p>
        </w:tc>
        <w:tc>
          <w:tcPr>
            <w:tcW w:w="746"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1"/>
                <w:szCs w:val="21"/>
              </w:rPr>
            </w:pPr>
            <w:r>
              <w:rPr>
                <w:rFonts w:hint="eastAsia" w:ascii="宋体" w:hAnsi="宋体"/>
                <w:sz w:val="21"/>
                <w:szCs w:val="21"/>
              </w:rPr>
              <w:t>3</w:t>
            </w:r>
          </w:p>
        </w:tc>
        <w:tc>
          <w:tcPr>
            <w:tcW w:w="1348"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kern w:val="2"/>
                <w:sz w:val="21"/>
                <w:szCs w:val="21"/>
              </w:rPr>
            </w:pPr>
            <w:r>
              <w:rPr>
                <w:rFonts w:hint="eastAsia"/>
                <w:bCs w:val="0"/>
                <w:kern w:val="2"/>
                <w:sz w:val="22"/>
                <w:szCs w:val="22"/>
              </w:rPr>
              <w:t>企业业绩</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lang w:val="en-US"/>
              </w:rPr>
              <w:t>7</w:t>
            </w:r>
            <w:r>
              <w:rPr>
                <w:rFonts w:hint="eastAsia"/>
              </w:rPr>
              <w:t>分</w:t>
            </w:r>
          </w:p>
        </w:tc>
        <w:tc>
          <w:tcPr>
            <w:tcW w:w="59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lang w:val="en-US"/>
              </w:rPr>
              <w:t>投标人2017年以来（以竣工验收时间为准）承担过单项合同范围包含舞台机械、灯光、音响采购安装内容，每项得1分，满分得7分。</w:t>
            </w:r>
          </w:p>
          <w:p>
            <w:pPr>
              <w:widowControl/>
              <w:spacing w:line="360" w:lineRule="auto"/>
              <w:rPr>
                <w:szCs w:val="21"/>
              </w:rPr>
            </w:pPr>
            <w:r>
              <w:rPr>
                <w:rFonts w:hint="eastAsia"/>
                <w:lang w:val="en-US"/>
              </w:rPr>
              <w:t>注：需提供中标通知书、合同（关键页）、验收报告。合同或验收报告需体现采购范围，否则不得分。</w:t>
            </w:r>
          </w:p>
        </w:tc>
        <w:tc>
          <w:tcPr>
            <w:tcW w:w="746" w:type="dxa"/>
            <w:tcBorders>
              <w:top w:val="single" w:color="auto" w:sz="4" w:space="0"/>
              <w:left w:val="single" w:color="auto" w:sz="4" w:space="0"/>
              <w:bottom w:val="single" w:color="auto" w:sz="4" w:space="0"/>
              <w:right w:val="single" w:color="auto" w:sz="4" w:space="0"/>
            </w:tcBorders>
            <w:vAlign w:val="center"/>
          </w:tcPr>
          <w:p>
            <w:pPr>
              <w:shd w:val="clear" w:color="auto" w:fill="FFFFFF"/>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27"/>
              <w:rPr>
                <w:rFonts w:ascii="宋体" w:hAnsi="宋体"/>
                <w:sz w:val="21"/>
                <w:szCs w:val="21"/>
              </w:rPr>
            </w:pPr>
            <w:r>
              <w:rPr>
                <w:rFonts w:hint="eastAsia" w:ascii="宋体" w:hAnsi="宋体"/>
                <w:kern w:val="2"/>
                <w:sz w:val="21"/>
                <w:szCs w:val="21"/>
              </w:rPr>
              <w:t>4</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t>拟投入的服务团队情况</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napToGrid w:val="0"/>
                <w:lang w:val="en-US"/>
              </w:rPr>
              <w:t>8</w:t>
            </w:r>
            <w:r>
              <w:rPr>
                <w:rFonts w:hint="eastAsia"/>
                <w:snapToGrid w:val="0"/>
              </w:rPr>
              <w:t>分</w:t>
            </w:r>
          </w:p>
        </w:tc>
        <w:tc>
          <w:tcPr>
            <w:tcW w:w="59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lang w:val="en-US"/>
              </w:rPr>
            </w:pPr>
            <w:r>
              <w:rPr>
                <w:lang w:val="en-US"/>
              </w:rPr>
              <w:t>项目管理团队中配备：</w:t>
            </w:r>
          </w:p>
          <w:p>
            <w:pPr>
              <w:widowControl/>
              <w:spacing w:line="360" w:lineRule="auto"/>
              <w:rPr>
                <w:lang w:val="en-US"/>
              </w:rPr>
            </w:pPr>
            <w:r>
              <w:rPr>
                <w:rFonts w:hint="eastAsia"/>
                <w:lang w:val="en-US"/>
              </w:rPr>
              <w:t>1、</w:t>
            </w:r>
            <w:r>
              <w:rPr>
                <w:lang w:val="en-US"/>
              </w:rPr>
              <w:t>机械专业工程师或以上职称1人得2分，最高得</w:t>
            </w:r>
            <w:r>
              <w:rPr>
                <w:rFonts w:hint="eastAsia"/>
                <w:lang w:val="en-US"/>
              </w:rPr>
              <w:t>4</w:t>
            </w:r>
            <w:r>
              <w:rPr>
                <w:lang w:val="en-US"/>
              </w:rPr>
              <w:t>分；</w:t>
            </w:r>
          </w:p>
          <w:p>
            <w:pPr>
              <w:widowControl/>
              <w:spacing w:line="360" w:lineRule="auto"/>
              <w:rPr>
                <w:lang w:val="en-US"/>
              </w:rPr>
            </w:pPr>
            <w:r>
              <w:rPr>
                <w:rFonts w:hint="eastAsia"/>
                <w:lang w:val="en-US"/>
              </w:rPr>
              <w:t>2、</w:t>
            </w:r>
            <w:r>
              <w:rPr>
                <w:lang w:val="en-US"/>
              </w:rPr>
              <w:t>机电工程专业工程师或以上职称1人得</w:t>
            </w:r>
            <w:r>
              <w:rPr>
                <w:rFonts w:hint="eastAsia"/>
                <w:lang w:val="en-US"/>
              </w:rPr>
              <w:t>2</w:t>
            </w:r>
            <w:r>
              <w:rPr>
                <w:lang w:val="en-US"/>
              </w:rPr>
              <w:t>分，最高得</w:t>
            </w:r>
            <w:r>
              <w:rPr>
                <w:rFonts w:hint="eastAsia"/>
                <w:lang w:val="en-US"/>
              </w:rPr>
              <w:t>2</w:t>
            </w:r>
            <w:r>
              <w:rPr>
                <w:lang w:val="en-US"/>
              </w:rPr>
              <w:t>分；</w:t>
            </w:r>
          </w:p>
          <w:p>
            <w:pPr>
              <w:widowControl/>
              <w:spacing w:line="360" w:lineRule="auto"/>
              <w:rPr>
                <w:lang w:val="en-US"/>
              </w:rPr>
            </w:pPr>
            <w:r>
              <w:rPr>
                <w:rFonts w:hint="eastAsia"/>
                <w:lang w:val="en-US"/>
              </w:rPr>
              <w:t>3、</w:t>
            </w:r>
            <w:r>
              <w:rPr>
                <w:lang w:val="en-US"/>
              </w:rPr>
              <w:t>投标人拟投入本项目的技术人员中具有演艺设备系统工程舞台机械项目经理岗位证书的，得2分；</w:t>
            </w:r>
          </w:p>
          <w:p>
            <w:pPr>
              <w:widowControl/>
              <w:spacing w:line="360" w:lineRule="auto"/>
              <w:rPr>
                <w:lang w:val="en-US"/>
              </w:rPr>
            </w:pPr>
            <w:r>
              <w:rPr>
                <w:lang w:val="en-US"/>
              </w:rPr>
              <w:t>本项最高得</w:t>
            </w:r>
            <w:r>
              <w:rPr>
                <w:rFonts w:hint="eastAsia"/>
                <w:lang w:val="en-US"/>
              </w:rPr>
              <w:t>8</w:t>
            </w:r>
            <w:r>
              <w:rPr>
                <w:lang w:val="en-US"/>
              </w:rPr>
              <w:t>分。</w:t>
            </w:r>
          </w:p>
          <w:p>
            <w:pPr>
              <w:widowControl/>
              <w:rPr>
                <w:szCs w:val="21"/>
              </w:rPr>
            </w:pPr>
            <w:r>
              <w:rPr>
                <w:lang w:val="en-US"/>
              </w:rPr>
              <w:t>注：以上人员不重复计分，以上人员需提供</w:t>
            </w:r>
            <w:r>
              <w:rPr>
                <w:rFonts w:hint="eastAsia"/>
                <w:lang w:val="en-US"/>
              </w:rPr>
              <w:t>近三个月连续</w:t>
            </w:r>
            <w:r>
              <w:rPr>
                <w:lang w:val="en-US"/>
              </w:rPr>
              <w:t>在本单位缴纳社会保险证明文件。</w:t>
            </w:r>
          </w:p>
        </w:tc>
        <w:tc>
          <w:tcPr>
            <w:tcW w:w="746"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b/>
          <w:sz w:val="24"/>
        </w:rPr>
      </w:pPr>
    </w:p>
    <w:p>
      <w:pPr>
        <w:tabs>
          <w:tab w:val="left" w:pos="0"/>
          <w:tab w:val="center" w:pos="210"/>
          <w:tab w:val="center" w:pos="630"/>
        </w:tabs>
        <w:spacing w:line="360" w:lineRule="auto"/>
        <w:rPr>
          <w:b/>
          <w:sz w:val="24"/>
        </w:rPr>
      </w:pPr>
      <w:r>
        <w:rPr>
          <w:rFonts w:hint="eastAsia"/>
          <w:b/>
          <w:sz w:val="24"/>
        </w:rPr>
        <w:t>附件1-4：技术部分评审索引表</w:t>
      </w:r>
    </w:p>
    <w:p>
      <w:pPr>
        <w:tabs>
          <w:tab w:val="left" w:pos="0"/>
          <w:tab w:val="center" w:pos="210"/>
          <w:tab w:val="center" w:pos="630"/>
        </w:tabs>
        <w:spacing w:line="360" w:lineRule="auto"/>
        <w:rPr>
          <w:b/>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26"/>
        <w:gridCol w:w="1517"/>
        <w:gridCol w:w="718"/>
        <w:gridCol w:w="557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29" w:hRule="atLeast"/>
          <w:tblHeade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rPr>
            </w:pPr>
            <w:r>
              <w:rPr>
                <w:rFonts w:hint="eastAsia"/>
                <w:szCs w:val="21"/>
              </w:rPr>
              <w:t>序号</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rPr>
            </w:pPr>
            <w:r>
              <w:rPr>
                <w:rFonts w:hint="eastAsia"/>
                <w:szCs w:val="21"/>
              </w:rPr>
              <w:t>评审分项</w:t>
            </w:r>
          </w:p>
        </w:tc>
        <w:tc>
          <w:tcPr>
            <w:tcW w:w="7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rPr>
            </w:pPr>
            <w:r>
              <w:rPr>
                <w:rFonts w:hint="eastAsia"/>
                <w:szCs w:val="21"/>
              </w:rPr>
              <w:t>分值</w:t>
            </w:r>
          </w:p>
        </w:tc>
        <w:tc>
          <w:tcPr>
            <w:tcW w:w="55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rPr>
            </w:pPr>
            <w:r>
              <w:rPr>
                <w:rFonts w:hint="eastAsia"/>
                <w:szCs w:val="21"/>
              </w:rPr>
              <w:t>评审标准</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rPr>
            </w:pPr>
            <w:r>
              <w:rPr>
                <w:rFonts w:hint="eastAsia"/>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lang w:val="en-US"/>
              </w:rPr>
            </w:pPr>
            <w:r>
              <w:rPr>
                <w:rFonts w:hint="eastAsia"/>
                <w:szCs w:val="21"/>
                <w:lang w:val="en-US"/>
              </w:rPr>
              <w:t>1</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技术方案</w:t>
            </w: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lang w:val="en-US"/>
              </w:rPr>
              <w:t>10分</w:t>
            </w:r>
          </w:p>
        </w:tc>
        <w:tc>
          <w:tcPr>
            <w:tcW w:w="5572" w:type="dxa"/>
            <w:tcBorders>
              <w:top w:val="single" w:color="auto" w:sz="4" w:space="0"/>
              <w:left w:val="single" w:color="auto" w:sz="4" w:space="0"/>
              <w:bottom w:val="single" w:color="auto" w:sz="4" w:space="0"/>
              <w:right w:val="single" w:color="auto" w:sz="4" w:space="0"/>
            </w:tcBorders>
            <w:vAlign w:val="center"/>
          </w:tcPr>
          <w:p>
            <w:pPr>
              <w:widowControl/>
              <w:rPr>
                <w:color w:val="000000"/>
                <w:lang w:bidi="ar"/>
              </w:rPr>
            </w:pPr>
            <w:r>
              <w:rPr>
                <w:rFonts w:hint="eastAsia"/>
                <w:color w:val="000000"/>
                <w:lang w:bidi="ar"/>
              </w:rPr>
              <w:t>根据投标人技术方案（包括舞台机械系统安装、调试及验收方案等）进行评审：</w:t>
            </w:r>
          </w:p>
          <w:p>
            <w:pPr>
              <w:widowControl/>
              <w:rPr>
                <w:color w:val="000000"/>
                <w:lang w:bidi="ar"/>
              </w:rPr>
            </w:pPr>
            <w:r>
              <w:rPr>
                <w:rFonts w:hint="eastAsia"/>
                <w:color w:val="000000"/>
                <w:lang w:bidi="ar"/>
              </w:rPr>
              <w:t>①技术方案科学合理，安装、调试及验收方案具体、针对性强，优于招标文件要求得 10 分；</w:t>
            </w:r>
          </w:p>
          <w:p>
            <w:pPr>
              <w:widowControl/>
              <w:rPr>
                <w:color w:val="000000"/>
                <w:lang w:bidi="ar"/>
              </w:rPr>
            </w:pPr>
            <w:r>
              <w:rPr>
                <w:rFonts w:hint="eastAsia"/>
                <w:color w:val="000000"/>
                <w:lang w:bidi="ar"/>
              </w:rPr>
              <w:t>②技术方案基本合理，安装、调试及验收方案基本完整、具有针对性，基本满足招标文件要求得 6 分；</w:t>
            </w:r>
          </w:p>
          <w:p>
            <w:pPr>
              <w:widowControl/>
              <w:rPr>
                <w:color w:val="000000"/>
                <w:lang w:bidi="ar"/>
              </w:rPr>
            </w:pPr>
            <w:r>
              <w:rPr>
                <w:rFonts w:hint="eastAsia"/>
                <w:color w:val="000000"/>
                <w:lang w:bidi="ar"/>
              </w:rPr>
              <w:t>③技术方案一般，安装、调试及验收方案一般、不具备针对性或针对性较差强，不太符合招标文件要求得 3 分；</w:t>
            </w:r>
          </w:p>
          <w:p>
            <w:pPr>
              <w:widowControl/>
              <w:rPr>
                <w:rFonts w:cs="Arial Unicode MS"/>
              </w:rPr>
            </w:pPr>
            <w:r>
              <w:rPr>
                <w:rFonts w:hint="eastAsia"/>
                <w:color w:val="000000"/>
                <w:lang w:bidi="ar"/>
              </w:rPr>
              <w:t>④无提供相应内容不得分。</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lang w:val="en-US"/>
              </w:rPr>
            </w:pPr>
            <w:r>
              <w:rPr>
                <w:rFonts w:hint="eastAsia"/>
                <w:szCs w:val="21"/>
                <w:lang w:val="en-US"/>
              </w:rPr>
              <w:t>2</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Cs/>
                <w:szCs w:val="21"/>
              </w:rPr>
              <w:t>项目实施方案</w:t>
            </w: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lang w:val="en-US"/>
              </w:rPr>
              <w:t>5</w:t>
            </w:r>
            <w:r>
              <w:rPr>
                <w:rFonts w:hint="eastAsia"/>
                <w:bCs/>
              </w:rPr>
              <w:t>分</w:t>
            </w:r>
          </w:p>
        </w:tc>
        <w:tc>
          <w:tcPr>
            <w:tcW w:w="5572" w:type="dxa"/>
            <w:tcBorders>
              <w:top w:val="single" w:color="auto" w:sz="4" w:space="0"/>
              <w:left w:val="single" w:color="auto" w:sz="4" w:space="0"/>
              <w:bottom w:val="single" w:color="auto" w:sz="4" w:space="0"/>
              <w:right w:val="single" w:color="auto" w:sz="4" w:space="0"/>
            </w:tcBorders>
            <w:vAlign w:val="center"/>
          </w:tcPr>
          <w:p>
            <w:pPr>
              <w:widowControl/>
              <w:rPr>
                <w:color w:val="000000"/>
                <w:lang w:bidi="ar"/>
              </w:rPr>
            </w:pPr>
            <w:r>
              <w:rPr>
                <w:rFonts w:hint="eastAsia"/>
                <w:color w:val="000000"/>
                <w:lang w:bidi="ar"/>
              </w:rPr>
              <w:t>根据投标人制定的项目实施方案（包括但不限于供货方案、安装方案、安全文明实施方案、验收方案等）进行评审：</w:t>
            </w:r>
          </w:p>
          <w:p>
            <w:pPr>
              <w:widowControl/>
              <w:rPr>
                <w:color w:val="000000"/>
                <w:lang w:bidi="ar"/>
              </w:rPr>
            </w:pPr>
            <w:r>
              <w:rPr>
                <w:rFonts w:hint="eastAsia"/>
                <w:color w:val="000000"/>
                <w:lang w:bidi="ar"/>
              </w:rPr>
              <w:t>①项目实施方案非常明确、详尽、合理、规范，非常有利于项目实施的，得5分；</w:t>
            </w:r>
          </w:p>
          <w:p>
            <w:pPr>
              <w:widowControl/>
              <w:rPr>
                <w:color w:val="000000"/>
                <w:lang w:bidi="ar"/>
              </w:rPr>
            </w:pPr>
            <w:r>
              <w:rPr>
                <w:rFonts w:hint="eastAsia"/>
                <w:color w:val="000000"/>
                <w:lang w:bidi="ar"/>
              </w:rPr>
              <w:t>②项目实施方案比较明确、详尽、合理、规范，有利于项目实施的，得3分；</w:t>
            </w:r>
          </w:p>
          <w:p>
            <w:pPr>
              <w:widowControl/>
              <w:rPr>
                <w:color w:val="000000"/>
                <w:lang w:bidi="ar"/>
              </w:rPr>
            </w:pPr>
            <w:r>
              <w:rPr>
                <w:rFonts w:hint="eastAsia"/>
                <w:color w:val="000000"/>
                <w:lang w:bidi="ar"/>
              </w:rPr>
              <w:t>③项目实施方案基本明确、详尽、合理、规范，比较有利于项目实施的，得2分；</w:t>
            </w:r>
          </w:p>
          <w:p>
            <w:pPr>
              <w:widowControl/>
              <w:rPr>
                <w:color w:val="000000"/>
                <w:lang w:bidi="ar"/>
              </w:rPr>
            </w:pPr>
            <w:r>
              <w:rPr>
                <w:rFonts w:hint="eastAsia"/>
                <w:color w:val="000000"/>
                <w:lang w:bidi="ar"/>
              </w:rPr>
              <w:t>④项目实施方案简单、不够全面的得1分；</w:t>
            </w:r>
          </w:p>
          <w:p>
            <w:pPr>
              <w:widowControl/>
            </w:pPr>
            <w:r>
              <w:rPr>
                <w:rFonts w:hint="eastAsia"/>
                <w:color w:val="000000"/>
                <w:lang w:bidi="ar"/>
              </w:rPr>
              <w:t>⑤未提供对应方案的不得分。</w:t>
            </w:r>
          </w:p>
        </w:tc>
        <w:tc>
          <w:tcPr>
            <w:tcW w:w="1058"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szCs w:val="21"/>
                <w:lang w:val="en-US"/>
              </w:rPr>
            </w:pPr>
            <w:r>
              <w:rPr>
                <w:rFonts w:hint="eastAsia"/>
                <w:szCs w:val="21"/>
                <w:lang w:val="en-US"/>
              </w:rPr>
              <w:t>3</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售后服务方案及技术培训方案</w:t>
            </w: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lang w:val="en-US"/>
              </w:rPr>
              <w:t>5</w:t>
            </w:r>
            <w:r>
              <w:rPr>
                <w:rFonts w:hint="eastAsia"/>
                <w:bCs/>
              </w:rPr>
              <w:t>分</w:t>
            </w:r>
          </w:p>
        </w:tc>
        <w:tc>
          <w:tcPr>
            <w:tcW w:w="5572" w:type="dxa"/>
            <w:tcBorders>
              <w:top w:val="single" w:color="auto" w:sz="4" w:space="0"/>
              <w:left w:val="single" w:color="auto" w:sz="4" w:space="0"/>
              <w:bottom w:val="single" w:color="auto" w:sz="4" w:space="0"/>
              <w:right w:val="single" w:color="auto" w:sz="4" w:space="0"/>
            </w:tcBorders>
            <w:vAlign w:val="center"/>
          </w:tcPr>
          <w:p>
            <w:pPr>
              <w:widowControl/>
              <w:rPr>
                <w:color w:val="000000"/>
                <w:lang w:bidi="ar"/>
              </w:rPr>
            </w:pPr>
            <w:r>
              <w:rPr>
                <w:rFonts w:hint="eastAsia"/>
                <w:color w:val="000000"/>
                <w:lang w:bidi="ar"/>
              </w:rPr>
              <w:t>对投标人售后服务方案及技术培训方案</w:t>
            </w:r>
            <w:r>
              <w:rPr>
                <w:rFonts w:hint="eastAsia"/>
                <w:color w:val="000000"/>
                <w:lang w:val="en-US" w:bidi="ar"/>
              </w:rPr>
              <w:t>进行评审</w:t>
            </w:r>
            <w:r>
              <w:rPr>
                <w:rFonts w:hint="eastAsia"/>
                <w:color w:val="000000"/>
                <w:lang w:bidi="ar"/>
              </w:rPr>
              <w:t xml:space="preserve">： </w:t>
            </w:r>
          </w:p>
          <w:p>
            <w:pPr>
              <w:widowControl/>
              <w:rPr>
                <w:color w:val="000000"/>
                <w:lang w:bidi="ar"/>
              </w:rPr>
            </w:pPr>
            <w:r>
              <w:rPr>
                <w:rFonts w:hint="eastAsia"/>
                <w:color w:val="000000"/>
                <w:lang w:bidi="ar"/>
              </w:rPr>
              <w:t>根据投标人提供售后服务及技术培训方案（包括但不限于售后服务体系情况、响应情况、服务人员配备情况和技术培训方案）进行评审：</w:t>
            </w:r>
          </w:p>
          <w:p>
            <w:pPr>
              <w:widowControl/>
              <w:rPr>
                <w:color w:val="000000"/>
                <w:lang w:bidi="ar"/>
              </w:rPr>
            </w:pPr>
            <w:r>
              <w:rPr>
                <w:rFonts w:hint="eastAsia"/>
                <w:color w:val="000000"/>
                <w:lang w:bidi="ar"/>
              </w:rPr>
              <w:t>①售后服务承诺详细完整，人员配置完善，完全能保障提供优质的售后服务工作。应急响应方案且方案合理，有详细技术培训方案，安排非常合理、周全，得5分；</w:t>
            </w:r>
          </w:p>
          <w:p>
            <w:pPr>
              <w:widowControl/>
              <w:rPr>
                <w:color w:val="000000"/>
                <w:lang w:bidi="ar"/>
              </w:rPr>
            </w:pPr>
            <w:r>
              <w:rPr>
                <w:rFonts w:hint="eastAsia"/>
                <w:color w:val="000000"/>
                <w:lang w:bidi="ar"/>
              </w:rPr>
              <w:t>②售后服务承诺较完整，人员配置较合理，较能保障售后服务工作。应急响应方案且方案较合理，有较详细技术培训方案，安排较合理、较周全，得3分；</w:t>
            </w:r>
          </w:p>
          <w:p>
            <w:pPr>
              <w:widowControl/>
              <w:rPr>
                <w:color w:val="000000"/>
                <w:lang w:bidi="ar"/>
              </w:rPr>
            </w:pPr>
            <w:r>
              <w:rPr>
                <w:rFonts w:hint="eastAsia"/>
                <w:color w:val="000000"/>
                <w:lang w:bidi="ar"/>
              </w:rPr>
              <w:t>③售后服务承诺基本完整，人员配置基本合理，基本保障售后服务工作，应急响应方案基本合理，技术培训安排一般，得2分；</w:t>
            </w:r>
          </w:p>
          <w:p>
            <w:pPr>
              <w:widowControl/>
              <w:rPr>
                <w:color w:val="000000"/>
                <w:lang w:bidi="ar"/>
              </w:rPr>
            </w:pPr>
            <w:r>
              <w:rPr>
                <w:rFonts w:hint="eastAsia"/>
                <w:color w:val="000000"/>
                <w:lang w:bidi="ar"/>
              </w:rPr>
              <w:t>④售后服务承诺不完整、人员配置不合理，不能保障售后服务工作，有应急响应方案但不合理，有技术培训安排但培训安排不详细，得1分；</w:t>
            </w:r>
          </w:p>
          <w:p>
            <w:pPr>
              <w:widowControl/>
            </w:pPr>
            <w:r>
              <w:rPr>
                <w:rFonts w:hint="eastAsia"/>
                <w:color w:val="000000"/>
                <w:lang w:val="en-US" w:bidi="ar"/>
              </w:rPr>
              <w:t>注：</w:t>
            </w:r>
            <w:r>
              <w:rPr>
                <w:rFonts w:hint="eastAsia"/>
                <w:color w:val="000000"/>
                <w:lang w:bidi="ar"/>
              </w:rPr>
              <w:t>未提供对应方案的不得分。</w:t>
            </w:r>
          </w:p>
        </w:tc>
        <w:tc>
          <w:tcPr>
            <w:tcW w:w="1058"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rPr>
            </w:pPr>
            <w:r>
              <w:rPr>
                <w:rFonts w:hint="eastAsia"/>
                <w:szCs w:val="21"/>
                <w:lang w:val="en-US"/>
              </w:rPr>
              <w:t>5</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lang w:val="en-US"/>
              </w:rPr>
              <w:t>对项目的理解及熟悉程度</w:t>
            </w: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snapToGrid w:val="0"/>
              </w:rPr>
              <w:t>1</w:t>
            </w:r>
            <w:r>
              <w:rPr>
                <w:rFonts w:hint="eastAsia"/>
                <w:snapToGrid w:val="0"/>
                <w:lang w:val="en-US"/>
              </w:rPr>
              <w:t>0</w:t>
            </w:r>
            <w:r>
              <w:rPr>
                <w:rFonts w:hint="eastAsia"/>
                <w:snapToGrid w:val="0"/>
              </w:rPr>
              <w:t>分</w:t>
            </w:r>
          </w:p>
        </w:tc>
        <w:tc>
          <w:tcPr>
            <w:tcW w:w="5572" w:type="dxa"/>
            <w:tcBorders>
              <w:top w:val="single" w:color="auto" w:sz="4" w:space="0"/>
              <w:left w:val="single" w:color="auto" w:sz="4" w:space="0"/>
              <w:bottom w:val="single" w:color="auto" w:sz="4" w:space="0"/>
              <w:right w:val="single" w:color="auto" w:sz="4" w:space="0"/>
            </w:tcBorders>
            <w:vAlign w:val="center"/>
          </w:tcPr>
          <w:p>
            <w:pPr>
              <w:pStyle w:val="23"/>
              <w:spacing w:before="111" w:line="343" w:lineRule="auto"/>
              <w:ind w:left="108" w:right="-29"/>
              <w:rPr>
                <w:color w:val="000000"/>
                <w:lang w:bidi="ar"/>
              </w:rPr>
            </w:pPr>
            <w:r>
              <w:rPr>
                <w:rFonts w:hint="eastAsia"/>
                <w:color w:val="000000"/>
                <w:lang w:bidi="ar"/>
              </w:rPr>
              <w:t>根据投标人对本项目用户需求的理解程度和控制 要求、性能要求、安装维护便利性，及其使用便利、易于维护等情况进行评审：</w:t>
            </w:r>
          </w:p>
          <w:p>
            <w:pPr>
              <w:pStyle w:val="23"/>
              <w:spacing w:before="1"/>
              <w:ind w:left="108"/>
              <w:rPr>
                <w:color w:val="000000"/>
                <w:lang w:bidi="ar"/>
              </w:rPr>
            </w:pPr>
            <w:r>
              <w:rPr>
                <w:rFonts w:hint="eastAsia"/>
                <w:color w:val="000000"/>
                <w:lang w:bidi="ar"/>
              </w:rPr>
              <w:t>①对本项目的理解明确、清晰，工作重点、难点分</w:t>
            </w:r>
          </w:p>
          <w:p>
            <w:pPr>
              <w:pStyle w:val="23"/>
              <w:spacing w:before="101" w:line="343" w:lineRule="auto"/>
              <w:ind w:left="108"/>
              <w:rPr>
                <w:color w:val="000000"/>
                <w:lang w:bidi="ar"/>
              </w:rPr>
            </w:pPr>
            <w:r>
              <w:rPr>
                <w:rFonts w:hint="eastAsia"/>
                <w:color w:val="000000"/>
                <w:lang w:bidi="ar"/>
              </w:rPr>
              <w:t xml:space="preserve">析准确、到位，解决措施合理可行，得 </w:t>
            </w:r>
            <w:r>
              <w:rPr>
                <w:rFonts w:hint="eastAsia"/>
                <w:color w:val="000000"/>
                <w:lang w:val="en-US" w:bidi="ar"/>
              </w:rPr>
              <w:t>10</w:t>
            </w:r>
            <w:r>
              <w:rPr>
                <w:rFonts w:hint="eastAsia"/>
                <w:color w:val="000000"/>
                <w:lang w:bidi="ar"/>
              </w:rPr>
              <w:t xml:space="preserve"> 分；</w:t>
            </w:r>
          </w:p>
          <w:p>
            <w:pPr>
              <w:pStyle w:val="23"/>
              <w:spacing w:before="101" w:line="343" w:lineRule="auto"/>
              <w:ind w:left="108"/>
              <w:rPr>
                <w:color w:val="000000"/>
                <w:lang w:bidi="ar"/>
              </w:rPr>
            </w:pPr>
            <w:r>
              <w:rPr>
                <w:rFonts w:hint="eastAsia"/>
                <w:color w:val="000000"/>
                <w:lang w:bidi="ar"/>
              </w:rPr>
              <w:t xml:space="preserve">②对本项目的理解较为明确、清晰，工作重点、难点分析较为准确，解决措施较合理可行，得 </w:t>
            </w:r>
            <w:r>
              <w:rPr>
                <w:rFonts w:hint="eastAsia"/>
                <w:color w:val="000000"/>
                <w:lang w:val="en-US" w:bidi="ar"/>
              </w:rPr>
              <w:t>6</w:t>
            </w:r>
            <w:r>
              <w:rPr>
                <w:rFonts w:hint="eastAsia"/>
                <w:color w:val="000000"/>
                <w:lang w:bidi="ar"/>
              </w:rPr>
              <w:t xml:space="preserve"> 分；</w:t>
            </w:r>
          </w:p>
          <w:p>
            <w:pPr>
              <w:pStyle w:val="23"/>
              <w:spacing w:line="345" w:lineRule="auto"/>
              <w:ind w:left="108" w:right="92"/>
              <w:rPr>
                <w:color w:val="000000"/>
                <w:lang w:bidi="ar"/>
              </w:rPr>
            </w:pPr>
            <w:r>
              <w:rPr>
                <w:rFonts w:hint="eastAsia"/>
                <w:color w:val="000000"/>
                <w:lang w:bidi="ar"/>
              </w:rPr>
              <w:t xml:space="preserve">③对本项目的理解基本明确、清晰，工作重点、难点分基本准确，解决措施可行性差，得 </w:t>
            </w:r>
            <w:r>
              <w:rPr>
                <w:rFonts w:hint="eastAsia"/>
                <w:color w:val="000000"/>
                <w:lang w:val="en-US" w:bidi="ar"/>
              </w:rPr>
              <w:t>3</w:t>
            </w:r>
            <w:r>
              <w:rPr>
                <w:rFonts w:hint="eastAsia"/>
                <w:color w:val="000000"/>
                <w:lang w:bidi="ar"/>
              </w:rPr>
              <w:t xml:space="preserve"> 分；</w:t>
            </w:r>
          </w:p>
          <w:p>
            <w:pPr>
              <w:widowControl/>
              <w:rPr>
                <w:color w:val="000000"/>
              </w:rPr>
            </w:pPr>
            <w:r>
              <w:rPr>
                <w:rFonts w:hint="eastAsia"/>
                <w:color w:val="000000"/>
                <w:lang w:bidi="ar"/>
              </w:rPr>
              <w:t>④无相应描述或缺项得 0 分。</w:t>
            </w:r>
          </w:p>
        </w:tc>
        <w:tc>
          <w:tcPr>
            <w:tcW w:w="1058"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pStyle w:val="2"/>
        <w:ind w:firstLine="400"/>
      </w:pPr>
    </w:p>
    <w:p>
      <w:pPr>
        <w:widowControl/>
        <w:autoSpaceDE/>
        <w:autoSpaceDN/>
        <w:rPr>
          <w:sz w:val="20"/>
        </w:rPr>
      </w:pPr>
      <w:r>
        <w:br w:type="page"/>
      </w:r>
    </w:p>
    <w:p>
      <w:pPr>
        <w:pStyle w:val="4"/>
        <w:ind w:firstLine="0" w:firstLineChars="0"/>
      </w:pPr>
      <w:bookmarkStart w:id="107" w:name="_Toc24088"/>
      <w:bookmarkStart w:id="108" w:name="_Toc263670123"/>
      <w:bookmarkStart w:id="109" w:name="_Toc397676795"/>
      <w:bookmarkStart w:id="110" w:name="_Toc405902818"/>
      <w:bookmarkStart w:id="111" w:name="_Toc400960189"/>
      <w:bookmarkStart w:id="112" w:name="_Toc322033405"/>
      <w:bookmarkStart w:id="113" w:name="_Toc263437595"/>
      <w:r>
        <w:rPr>
          <w:rFonts w:hint="eastAsia"/>
        </w:rPr>
        <w:t>第二部分：资格部分</w:t>
      </w:r>
      <w:bookmarkEnd w:id="107"/>
    </w:p>
    <w:bookmarkEnd w:id="108"/>
    <w:bookmarkEnd w:id="109"/>
    <w:bookmarkEnd w:id="110"/>
    <w:bookmarkEnd w:id="111"/>
    <w:bookmarkEnd w:id="112"/>
    <w:bookmarkEnd w:id="113"/>
    <w:p>
      <w:pPr>
        <w:pStyle w:val="5"/>
        <w:tabs>
          <w:tab w:val="left" w:pos="851"/>
        </w:tabs>
        <w:jc w:val="center"/>
      </w:pPr>
      <w:bookmarkStart w:id="114" w:name="_bookmark29"/>
      <w:bookmarkEnd w:id="114"/>
      <w:bookmarkStart w:id="115" w:name="_Toc275440309"/>
      <w:bookmarkStart w:id="116" w:name="_Toc322033406"/>
      <w:bookmarkStart w:id="117" w:name="_Toc263670125"/>
      <w:bookmarkStart w:id="118" w:name="_Toc24078"/>
      <w:r>
        <w:rPr>
          <w:rFonts w:hint="eastAsia"/>
        </w:rPr>
        <w:t>2.1、</w:t>
      </w:r>
      <w:r>
        <w:t>资格声明函</w:t>
      </w:r>
    </w:p>
    <w:p>
      <w:pPr>
        <w:pStyle w:val="12"/>
        <w:spacing w:before="2"/>
        <w:rPr>
          <w:b/>
          <w:sz w:val="13"/>
        </w:rPr>
      </w:pPr>
    </w:p>
    <w:p>
      <w:pPr>
        <w:spacing w:before="71" w:line="360" w:lineRule="auto"/>
        <w:ind w:left="232"/>
        <w:rPr>
          <w:b/>
        </w:rPr>
      </w:pPr>
      <w:r>
        <w:rPr>
          <w:rFonts w:hint="eastAsia"/>
          <w:b/>
        </w:rPr>
        <w:t>中达安股份有限公司</w:t>
      </w:r>
      <w:r>
        <w:rPr>
          <w:b/>
        </w:rPr>
        <w:t>：</w:t>
      </w:r>
    </w:p>
    <w:p>
      <w:pPr>
        <w:pStyle w:val="12"/>
        <w:spacing w:before="10" w:line="360" w:lineRule="auto"/>
        <w:rPr>
          <w:b/>
          <w:sz w:val="14"/>
        </w:rPr>
      </w:pPr>
    </w:p>
    <w:p>
      <w:pPr>
        <w:pStyle w:val="12"/>
        <w:tabs>
          <w:tab w:val="left" w:pos="2565"/>
          <w:tab w:val="left" w:pos="5230"/>
          <w:tab w:val="left" w:pos="9664"/>
        </w:tabs>
        <w:spacing w:line="360" w:lineRule="auto"/>
        <w:ind w:left="232" w:right="268" w:firstLine="526"/>
      </w:pPr>
      <w:r>
        <w:t>关于贵公司的</w:t>
      </w:r>
      <w:r>
        <w:rPr>
          <w:u w:val="single"/>
        </w:rPr>
        <w:t xml:space="preserve"> </w:t>
      </w:r>
      <w:r>
        <w:rPr>
          <w:u w:val="single"/>
        </w:rPr>
        <w:tab/>
      </w:r>
      <w:r>
        <w:rPr>
          <w:rFonts w:hint="eastAsia"/>
          <w:u w:val="single"/>
        </w:rPr>
        <w:t>广州市杂技艺术剧院有限责任公司小剧场舞台机械改造</w:t>
      </w:r>
      <w:r>
        <w:t>（项目编号：</w:t>
      </w:r>
      <w:r>
        <w:rPr>
          <w:u w:val="single"/>
        </w:rPr>
        <w:t>ZDA2020-0623</w:t>
      </w:r>
      <w:r>
        <w:rPr>
          <w:rFonts w:hint="eastAsia"/>
          <w:u w:val="single"/>
          <w:lang w:val="en-US"/>
        </w:rPr>
        <w:t xml:space="preserve"> </w:t>
      </w:r>
      <w:r>
        <w:t>） 的投标邀请，本单位（企业）自愿参加投标，现声明如下：</w:t>
      </w:r>
    </w:p>
    <w:p>
      <w:pPr>
        <w:pStyle w:val="12"/>
        <w:spacing w:line="360" w:lineRule="auto"/>
        <w:ind w:left="232" w:right="266" w:firstLine="425"/>
      </w:pPr>
      <w:r>
        <w:t>本单位具备《中华人民共和国政府采购法》第二十二条</w:t>
      </w:r>
      <w:r>
        <w:rPr>
          <w:rFonts w:hint="eastAsia"/>
          <w:bCs/>
        </w:rPr>
        <w:t>及《中华人民共和国政府采购法实施条例》第十七条的规定</w:t>
      </w:r>
      <w:r>
        <w:t>资格条件，并已清楚招标文件的要求及有关文件规定。</w:t>
      </w:r>
    </w:p>
    <w:p>
      <w:pPr>
        <w:pStyle w:val="12"/>
        <w:spacing w:line="360" w:lineRule="auto"/>
        <w:ind w:left="232" w:right="266" w:firstLine="425"/>
      </w:pPr>
      <w:r>
        <w:rPr>
          <w:rFonts w:hint="eastAsia"/>
          <w:kern w:val="28"/>
        </w:rPr>
        <w:t>本单位未列入失信被执行人、重大税收违法案件当事人名单、政府采购严重违法失信行为记录名单的供应商。</w:t>
      </w:r>
    </w:p>
    <w:p>
      <w:pPr>
        <w:pStyle w:val="12"/>
        <w:spacing w:line="360" w:lineRule="auto"/>
        <w:ind w:left="232" w:right="279" w:firstLine="425"/>
      </w:pPr>
      <w:r>
        <w:t>本单位的法定代表人或单位负责人与所参投的本采购项目的其他投标人的法定代表人或单位负责人不为同一人且与其他投标人之间不存在直接控股、管理关系。</w:t>
      </w:r>
    </w:p>
    <w:p>
      <w:pPr>
        <w:pStyle w:val="12"/>
        <w:spacing w:line="360" w:lineRule="auto"/>
        <w:ind w:left="232" w:right="245" w:firstLine="425"/>
      </w:pPr>
      <w: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r>
        <w:rPr>
          <w:rFonts w:hint="eastAsia"/>
        </w:rPr>
        <w:t>。</w:t>
      </w:r>
    </w:p>
    <w:p>
      <w:pPr>
        <w:pStyle w:val="12"/>
        <w:spacing w:line="360" w:lineRule="auto"/>
        <w:ind w:left="232" w:right="266" w:firstLine="425"/>
      </w:pPr>
      <w:r>
        <w:rPr>
          <w:rFonts w:hint="eastAsia"/>
        </w:rPr>
        <w:t>本单位</w:t>
      </w:r>
      <w:r>
        <w:t>参加政府采购活动前 3 年内在经营活动中没有重大违法记录。否则，由此所造成的损失、不良后果及法律责任，一律由我单位承担。</w:t>
      </w:r>
    </w:p>
    <w:p>
      <w:pPr>
        <w:pStyle w:val="12"/>
        <w:spacing w:line="360" w:lineRule="auto"/>
        <w:ind w:left="232" w:right="266" w:firstLine="425"/>
      </w:pPr>
      <w:r>
        <w:t>本次招标采购活动中，如有违法、违规、弄虚作假行为，所造成的损失、不良后果及法律责任，一律由我单位承担。</w:t>
      </w:r>
    </w:p>
    <w:p>
      <w:r>
        <w:t>特此声明！</w:t>
      </w:r>
    </w:p>
    <w:p>
      <w:pPr>
        <w:pStyle w:val="12"/>
        <w:spacing w:line="360" w:lineRule="auto"/>
        <w:ind w:left="232"/>
        <w:jc w:val="right"/>
      </w:pPr>
      <w:r>
        <w:t>投标人名称（并加盖公章）：</w:t>
      </w:r>
    </w:p>
    <w:p>
      <w:pPr>
        <w:pStyle w:val="12"/>
        <w:spacing w:line="360" w:lineRule="auto"/>
        <w:ind w:left="232"/>
        <w:jc w:val="right"/>
      </w:pPr>
      <w:r>
        <w:t>投标人法定代表人或其委托人签字或</w:t>
      </w:r>
      <w:r>
        <w:rPr>
          <w:rFonts w:hint="eastAsia"/>
        </w:rPr>
        <w:t>盖章</w:t>
      </w:r>
      <w:r>
        <w:t>：</w:t>
      </w:r>
    </w:p>
    <w:p>
      <w:pPr>
        <w:pStyle w:val="12"/>
        <w:tabs>
          <w:tab w:val="left" w:pos="1389"/>
          <w:tab w:val="left" w:pos="1915"/>
          <w:tab w:val="left" w:pos="2438"/>
        </w:tabs>
        <w:spacing w:line="360" w:lineRule="auto"/>
        <w:ind w:left="232"/>
        <w:jc w:val="right"/>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220" w:right="860" w:bottom="960" w:left="900" w:header="877" w:footer="761" w:gutter="0"/>
          <w:cols w:space="720" w:num="1"/>
        </w:sectPr>
      </w:pPr>
    </w:p>
    <w:p>
      <w:pPr>
        <w:pStyle w:val="12"/>
        <w:spacing w:before="2"/>
        <w:rPr>
          <w:sz w:val="16"/>
        </w:rPr>
      </w:pPr>
    </w:p>
    <w:p>
      <w:r>
        <w:t>附件：</w:t>
      </w:r>
    </w:p>
    <w:p>
      <w:pPr>
        <w:spacing w:line="360" w:lineRule="auto"/>
        <w:ind w:firstLine="600" w:firstLineChars="300"/>
        <w:rPr>
          <w:spacing w:val="-5"/>
          <w:sz w:val="21"/>
          <w:szCs w:val="21"/>
        </w:rPr>
      </w:pPr>
      <w:r>
        <w:rPr>
          <w:spacing w:val="-5"/>
          <w:sz w:val="21"/>
          <w:szCs w:val="21"/>
        </w:rPr>
        <w:t>1) 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w:t>
      </w:r>
    </w:p>
    <w:p>
      <w:pPr>
        <w:spacing w:line="360" w:lineRule="auto"/>
        <w:ind w:firstLine="600" w:firstLineChars="300"/>
        <w:rPr>
          <w:spacing w:val="-5"/>
          <w:sz w:val="21"/>
          <w:szCs w:val="21"/>
        </w:rPr>
      </w:pPr>
      <w:r>
        <w:rPr>
          <w:spacing w:val="-5"/>
          <w:sz w:val="21"/>
          <w:szCs w:val="21"/>
        </w:rPr>
        <w:t xml:space="preserve">2) </w:t>
      </w:r>
      <w:r>
        <w:rPr>
          <w:rFonts w:hint="eastAsia"/>
          <w:spacing w:val="-5"/>
          <w:sz w:val="21"/>
          <w:szCs w:val="21"/>
        </w:rPr>
        <w:t>提供</w:t>
      </w:r>
      <w:r>
        <w:rPr>
          <w:spacing w:val="-5"/>
          <w:sz w:val="21"/>
          <w:szCs w:val="21"/>
        </w:rPr>
        <w:t xml:space="preserve"> 2018 年或 2019 年财务状况报告复印件或银行出具的资信证明材料复印件，(新成立公司提供成立至今的月或季度财务报表复印件)或银行出具的资信证明；</w:t>
      </w:r>
    </w:p>
    <w:p>
      <w:pPr>
        <w:spacing w:line="360" w:lineRule="auto"/>
        <w:ind w:firstLine="600" w:firstLineChars="300"/>
        <w:rPr>
          <w:spacing w:val="-5"/>
          <w:sz w:val="21"/>
          <w:szCs w:val="21"/>
        </w:rPr>
      </w:pPr>
      <w:r>
        <w:rPr>
          <w:spacing w:val="-5"/>
          <w:sz w:val="21"/>
          <w:szCs w:val="21"/>
        </w:rPr>
        <w:t>3) 具有履行合同所必需的设备和专业技术能力，提供资格声明函；</w:t>
      </w:r>
    </w:p>
    <w:p>
      <w:pPr>
        <w:spacing w:line="360" w:lineRule="auto"/>
        <w:ind w:firstLine="600" w:firstLineChars="300"/>
        <w:rPr>
          <w:spacing w:val="-5"/>
          <w:sz w:val="21"/>
          <w:szCs w:val="21"/>
        </w:rPr>
      </w:pPr>
      <w:r>
        <w:rPr>
          <w:spacing w:val="-5"/>
          <w:sz w:val="21"/>
          <w:szCs w:val="21"/>
        </w:rPr>
        <w:t>4) 提供 20</w:t>
      </w:r>
      <w:r>
        <w:rPr>
          <w:rFonts w:hint="eastAsia"/>
          <w:spacing w:val="-5"/>
          <w:sz w:val="21"/>
          <w:szCs w:val="21"/>
          <w:lang w:val="en-US"/>
        </w:rPr>
        <w:t>20</w:t>
      </w:r>
      <w:r>
        <w:rPr>
          <w:spacing w:val="-5"/>
          <w:sz w:val="21"/>
          <w:szCs w:val="21"/>
        </w:rPr>
        <w:t xml:space="preserve"> 年任意一个月的依法缴纳税收的证明（如纳税凭证）复印件，如依法免税的，应提供相应文件证明其依法免税</w:t>
      </w:r>
    </w:p>
    <w:p>
      <w:pPr>
        <w:spacing w:line="360" w:lineRule="auto"/>
        <w:ind w:firstLine="600" w:firstLineChars="300"/>
        <w:rPr>
          <w:spacing w:val="-5"/>
          <w:sz w:val="21"/>
          <w:szCs w:val="21"/>
        </w:rPr>
      </w:pPr>
      <w:r>
        <w:rPr>
          <w:spacing w:val="-5"/>
          <w:sz w:val="21"/>
          <w:szCs w:val="21"/>
        </w:rPr>
        <w:t>5) 提供 20</w:t>
      </w:r>
      <w:r>
        <w:rPr>
          <w:rFonts w:hint="eastAsia"/>
          <w:spacing w:val="-5"/>
          <w:sz w:val="21"/>
          <w:szCs w:val="21"/>
          <w:lang w:val="en-US"/>
        </w:rPr>
        <w:t>20</w:t>
      </w:r>
      <w:r>
        <w:rPr>
          <w:spacing w:val="-5"/>
          <w:sz w:val="21"/>
          <w:szCs w:val="21"/>
        </w:rPr>
        <w:t xml:space="preserve"> 年任意一个月的依法缴纳社会保险的证明（如缴费凭证）复印件，如依法不需要缴纳社会保障资金的，应提供相应文件证明其依法不需要缴纳社会保障资金</w:t>
      </w:r>
    </w:p>
    <w:p>
      <w:pPr>
        <w:spacing w:line="360" w:lineRule="auto"/>
        <w:ind w:firstLine="600" w:firstLineChars="300"/>
        <w:rPr>
          <w:spacing w:val="-5"/>
          <w:sz w:val="21"/>
          <w:szCs w:val="21"/>
        </w:rPr>
      </w:pPr>
      <w:r>
        <w:rPr>
          <w:rFonts w:hint="eastAsia"/>
          <w:spacing w:val="-5"/>
          <w:sz w:val="21"/>
          <w:szCs w:val="21"/>
        </w:rPr>
        <w:t>6）参加政府采购活动前三年内，在经营活动中没有重大违法记录，提供资格声明函；</w:t>
      </w:r>
    </w:p>
    <w:p>
      <w:pPr>
        <w:tabs>
          <w:tab w:val="left" w:pos="660"/>
          <w:tab w:val="left" w:pos="661"/>
        </w:tabs>
        <w:spacing w:line="364" w:lineRule="auto"/>
        <w:ind w:right="266"/>
      </w:pPr>
    </w:p>
    <w:p>
      <w:pPr>
        <w:pStyle w:val="22"/>
        <w:tabs>
          <w:tab w:val="left" w:pos="660"/>
          <w:tab w:val="left" w:pos="661"/>
        </w:tabs>
        <w:spacing w:line="364" w:lineRule="auto"/>
        <w:ind w:right="266" w:firstLine="0"/>
        <w:sectPr>
          <w:pgSz w:w="11910" w:h="16840"/>
          <w:pgMar w:top="1219" w:right="1219" w:bottom="1219" w:left="1219" w:header="879" w:footer="760" w:gutter="0"/>
          <w:cols w:space="720" w:num="1"/>
        </w:sectPr>
      </w:pPr>
    </w:p>
    <w:p>
      <w:pPr>
        <w:pStyle w:val="5"/>
        <w:tabs>
          <w:tab w:val="left" w:pos="851"/>
        </w:tabs>
        <w:ind w:left="0"/>
        <w:jc w:val="center"/>
      </w:pPr>
      <w:r>
        <w:rPr>
          <w:rFonts w:hint="eastAsia"/>
        </w:rPr>
        <w:t>2.2、</w:t>
      </w:r>
      <w:bookmarkStart w:id="119" w:name="_bookmark30"/>
      <w:bookmarkEnd w:id="119"/>
      <w:r>
        <w:t>符合“供应商资格”要求的其他证明文件附件</w:t>
      </w:r>
    </w:p>
    <w:p/>
    <w:p>
      <w:r>
        <w:rPr>
          <w:highlight w:val="yellow"/>
        </w:rPr>
        <w:t>供应商认为必要的其他材料</w:t>
      </w:r>
    </w:p>
    <w:p>
      <w:pPr>
        <w:spacing w:line="554" w:lineRule="auto"/>
        <w:sectPr>
          <w:pgSz w:w="11910" w:h="16840"/>
          <w:pgMar w:top="1220" w:right="860" w:bottom="960" w:left="900" w:header="877" w:footer="761" w:gutter="0"/>
          <w:cols w:space="720" w:num="1"/>
        </w:sectPr>
      </w:pPr>
    </w:p>
    <w:p>
      <w:pPr>
        <w:pStyle w:val="5"/>
        <w:tabs>
          <w:tab w:val="left" w:pos="851"/>
        </w:tabs>
        <w:ind w:left="0"/>
      </w:pPr>
      <w:bookmarkStart w:id="120" w:name="_bookmark31"/>
      <w:bookmarkEnd w:id="120"/>
      <w:r>
        <w:rPr>
          <w:rFonts w:hint="eastAsia"/>
        </w:rPr>
        <w:t>2.3、</w:t>
      </w:r>
      <w:r>
        <w:t>公平竞争承诺书</w:t>
      </w:r>
    </w:p>
    <w:p>
      <w:pPr>
        <w:pStyle w:val="12"/>
        <w:rPr>
          <w:b/>
          <w:sz w:val="20"/>
        </w:rPr>
      </w:pPr>
    </w:p>
    <w:p>
      <w:pPr>
        <w:pStyle w:val="12"/>
        <w:rPr>
          <w:b/>
          <w:sz w:val="20"/>
        </w:rPr>
      </w:pPr>
    </w:p>
    <w:p>
      <w:pPr>
        <w:pStyle w:val="12"/>
        <w:spacing w:before="2"/>
        <w:rPr>
          <w:b/>
          <w:sz w:val="23"/>
        </w:rPr>
      </w:pPr>
    </w:p>
    <w:p>
      <w:pPr>
        <w:pStyle w:val="12"/>
        <w:tabs>
          <w:tab w:val="left" w:pos="2033"/>
          <w:tab w:val="left" w:pos="4685"/>
          <w:tab w:val="left" w:pos="7338"/>
        </w:tabs>
        <w:spacing w:line="436" w:lineRule="auto"/>
        <w:ind w:left="232" w:right="244" w:firstLine="420"/>
      </w:pPr>
      <w:r>
        <w:t>本单</w:t>
      </w:r>
      <w:r>
        <w:rPr>
          <w:spacing w:val="-3"/>
        </w:rPr>
        <w:t>位</w:t>
      </w:r>
      <w:r>
        <w:t>郑</w:t>
      </w:r>
      <w:r>
        <w:rPr>
          <w:spacing w:val="-3"/>
        </w:rPr>
        <w:t>重</w:t>
      </w:r>
      <w:r>
        <w:t>承</w:t>
      </w:r>
      <w:r>
        <w:rPr>
          <w:spacing w:val="-3"/>
        </w:rPr>
        <w:t>诺</w:t>
      </w:r>
      <w:r>
        <w:t>：</w:t>
      </w:r>
      <w:r>
        <w:rPr>
          <w:spacing w:val="-3"/>
        </w:rPr>
        <w:t>本</w:t>
      </w:r>
      <w:r>
        <w:t>单</w:t>
      </w:r>
      <w:r>
        <w:rPr>
          <w:spacing w:val="-3"/>
        </w:rPr>
        <w:t>位</w:t>
      </w:r>
      <w:r>
        <w:t>保证</w:t>
      </w:r>
      <w:r>
        <w:rPr>
          <w:spacing w:val="-3"/>
        </w:rPr>
        <w:t>所</w:t>
      </w:r>
      <w:r>
        <w:t>提</w:t>
      </w:r>
      <w:r>
        <w:rPr>
          <w:spacing w:val="-3"/>
        </w:rPr>
        <w:t>交</w:t>
      </w:r>
      <w:r>
        <w:t>的</w:t>
      </w:r>
      <w:r>
        <w:rPr>
          <w:spacing w:val="-3"/>
        </w:rPr>
        <w:t>相</w:t>
      </w:r>
      <w:r>
        <w:t>关</w:t>
      </w:r>
      <w:r>
        <w:rPr>
          <w:spacing w:val="-3"/>
        </w:rPr>
        <w:t>资</w:t>
      </w:r>
      <w:r>
        <w:t>质</w:t>
      </w:r>
      <w:r>
        <w:rPr>
          <w:spacing w:val="-3"/>
        </w:rPr>
        <w:t>文</w:t>
      </w:r>
      <w:r>
        <w:t>件和</w:t>
      </w:r>
      <w:r>
        <w:rPr>
          <w:spacing w:val="-3"/>
        </w:rPr>
        <w:t>证</w:t>
      </w:r>
      <w:r>
        <w:t>明</w:t>
      </w:r>
      <w:r>
        <w:rPr>
          <w:spacing w:val="-3"/>
        </w:rPr>
        <w:t>材</w:t>
      </w:r>
      <w:r>
        <w:t>料</w:t>
      </w:r>
      <w:r>
        <w:rPr>
          <w:spacing w:val="-3"/>
        </w:rPr>
        <w:t>的</w:t>
      </w:r>
      <w:r>
        <w:t>真</w:t>
      </w:r>
      <w:r>
        <w:rPr>
          <w:spacing w:val="-3"/>
        </w:rPr>
        <w:t>实</w:t>
      </w:r>
      <w:r>
        <w:t>性</w:t>
      </w:r>
      <w:r>
        <w:rPr>
          <w:spacing w:val="-3"/>
        </w:rPr>
        <w:t>，</w:t>
      </w:r>
      <w:r>
        <w:t>有良</w:t>
      </w:r>
      <w:r>
        <w:rPr>
          <w:spacing w:val="-3"/>
        </w:rPr>
        <w:t>好</w:t>
      </w:r>
      <w:r>
        <w:t>的</w:t>
      </w:r>
      <w:r>
        <w:rPr>
          <w:spacing w:val="-3"/>
        </w:rPr>
        <w:t>历</w:t>
      </w:r>
      <w:r>
        <w:t>史</w:t>
      </w:r>
      <w:r>
        <w:rPr>
          <w:spacing w:val="-3"/>
        </w:rPr>
        <w:t>诚</w:t>
      </w:r>
      <w:r>
        <w:t>信</w:t>
      </w:r>
      <w:r>
        <w:rPr>
          <w:spacing w:val="-3"/>
        </w:rPr>
        <w:t>记录</w:t>
      </w:r>
      <w:r>
        <w:t>， 并将依法参与</w:t>
      </w:r>
      <w:r>
        <w:rPr>
          <w:u w:val="single"/>
        </w:rPr>
        <w:t xml:space="preserve"> </w:t>
      </w:r>
      <w:r>
        <w:rPr>
          <w:rFonts w:hint="eastAsia"/>
          <w:u w:val="single"/>
        </w:rPr>
        <w:t>广州市杂技艺术剧院有限责任公司小剧场舞台机械改造</w:t>
      </w:r>
      <w:r>
        <w:t>（项目编号：</w:t>
      </w:r>
      <w:r>
        <w:rPr>
          <w:u w:val="single"/>
        </w:rPr>
        <w:t xml:space="preserve"> ZDA2020-0623</w:t>
      </w:r>
      <w:r>
        <w:rPr>
          <w:u w:val="single"/>
          <w:lang w:val="en-US"/>
        </w:rPr>
        <w:t xml:space="preserve"> </w:t>
      </w:r>
      <w:r>
        <w:t>）的公平竞争，不以任何不正当行为谋取不当利益，否则承担相应的法律责任。</w:t>
      </w: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1"/>
        <w:rPr>
          <w:sz w:val="26"/>
        </w:rPr>
      </w:pPr>
    </w:p>
    <w:p>
      <w:pPr>
        <w:pStyle w:val="12"/>
        <w:wordWrap w:val="0"/>
        <w:spacing w:line="360" w:lineRule="auto"/>
        <w:ind w:left="232" w:right="480"/>
        <w:jc w:val="center"/>
      </w:pPr>
      <w:r>
        <w:rPr>
          <w:rFonts w:hint="eastAsia"/>
        </w:rPr>
        <w:t xml:space="preserve"> </w:t>
      </w:r>
      <w:r>
        <w:t xml:space="preserve">                               投标人名称（并加盖公章）：</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pPr>
        <w:pStyle w:val="12"/>
        <w:wordWrap w:val="0"/>
        <w:spacing w:line="360" w:lineRule="auto"/>
        <w:ind w:left="232"/>
        <w:jc w:val="right"/>
      </w:pPr>
      <w:r>
        <w:t>投标人法定代表人或其委托人签字或</w:t>
      </w:r>
      <w:r>
        <w:rPr>
          <w:rFonts w:hint="eastAsia"/>
        </w:rPr>
        <w:t>盖章</w:t>
      </w:r>
      <w:r>
        <w:t>：</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pPr>
        <w:pStyle w:val="12"/>
        <w:tabs>
          <w:tab w:val="left" w:pos="1389"/>
          <w:tab w:val="left" w:pos="1915"/>
          <w:tab w:val="left" w:pos="2438"/>
        </w:tabs>
        <w:spacing w:line="360" w:lineRule="auto"/>
        <w:ind w:left="232" w:right="480" w:firstLine="4800" w:firstLineChars="2000"/>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4"/>
        <w:ind w:firstLine="482"/>
        <w:rPr>
          <w:szCs w:val="21"/>
        </w:rPr>
      </w:pPr>
      <w:r>
        <w:rPr>
          <w:szCs w:val="21"/>
        </w:rPr>
        <w:br w:type="page"/>
      </w:r>
      <w:bookmarkStart w:id="121" w:name="_Toc9557"/>
      <w:bookmarkStart w:id="122" w:name="_Toc397676796"/>
      <w:bookmarkStart w:id="123" w:name="_Toc400960190"/>
      <w:bookmarkStart w:id="124" w:name="_Toc405902819"/>
      <w:r>
        <w:rPr>
          <w:rFonts w:hint="eastAsia"/>
          <w:szCs w:val="21"/>
        </w:rPr>
        <w:t>第三部分：商务部分</w:t>
      </w:r>
      <w:bookmarkEnd w:id="121"/>
    </w:p>
    <w:p>
      <w:pPr>
        <w:pStyle w:val="5"/>
        <w:jc w:val="center"/>
      </w:pPr>
      <w:r>
        <w:rPr>
          <w:rFonts w:ascii="Calibri" w:eastAsia="Calibri"/>
        </w:rPr>
        <w:t>1</w:t>
      </w:r>
      <w:r>
        <w:t>、投标人概况</w:t>
      </w:r>
    </w:p>
    <w:p>
      <w:pPr>
        <w:pStyle w:val="12"/>
        <w:spacing w:before="11"/>
        <w:rPr>
          <w:b/>
          <w:sz w:val="23"/>
        </w:rPr>
      </w:pPr>
    </w:p>
    <w:p>
      <w:pPr>
        <w:pStyle w:val="6"/>
      </w:pPr>
      <w:r>
        <w:t>（1）投标人情况介绍表</w:t>
      </w:r>
    </w:p>
    <w:p>
      <w:pPr>
        <w:pStyle w:val="12"/>
        <w:spacing w:before="4"/>
        <w:rPr>
          <w:b/>
          <w:sz w:val="15"/>
        </w:rPr>
      </w:pPr>
    </w:p>
    <w:tbl>
      <w:tblPr>
        <w:tblStyle w:val="19"/>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1230"/>
        <w:gridCol w:w="510"/>
        <w:gridCol w:w="945"/>
        <w:gridCol w:w="270"/>
        <w:gridCol w:w="975"/>
        <w:gridCol w:w="1623"/>
        <w:gridCol w:w="777"/>
        <w:gridCol w:w="165"/>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tcPr>
          <w:p>
            <w:pPr>
              <w:pStyle w:val="23"/>
              <w:spacing w:before="111"/>
              <w:ind w:left="43" w:right="57"/>
              <w:jc w:val="center"/>
              <w:rPr>
                <w:sz w:val="24"/>
              </w:rPr>
            </w:pPr>
            <w:r>
              <w:rPr>
                <w:sz w:val="24"/>
              </w:rPr>
              <w:t>单位名称</w:t>
            </w:r>
          </w:p>
        </w:tc>
        <w:tc>
          <w:tcPr>
            <w:tcW w:w="7710" w:type="dxa"/>
            <w:gridSpan w:val="9"/>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tcPr>
          <w:p>
            <w:pPr>
              <w:pStyle w:val="23"/>
              <w:spacing w:before="112"/>
              <w:ind w:left="43" w:right="57"/>
              <w:jc w:val="center"/>
              <w:rPr>
                <w:sz w:val="24"/>
              </w:rPr>
            </w:pPr>
            <w:r>
              <w:rPr>
                <w:sz w:val="24"/>
              </w:rPr>
              <w:t>地址</w:t>
            </w:r>
          </w:p>
        </w:tc>
        <w:tc>
          <w:tcPr>
            <w:tcW w:w="7710" w:type="dxa"/>
            <w:gridSpan w:val="9"/>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tcPr>
          <w:p>
            <w:pPr>
              <w:pStyle w:val="23"/>
              <w:spacing w:before="111"/>
              <w:ind w:left="43" w:right="57"/>
              <w:jc w:val="center"/>
              <w:rPr>
                <w:sz w:val="24"/>
              </w:rPr>
            </w:pPr>
            <w:r>
              <w:rPr>
                <w:sz w:val="24"/>
              </w:rPr>
              <w:t>主管部门</w:t>
            </w:r>
          </w:p>
        </w:tc>
        <w:tc>
          <w:tcPr>
            <w:tcW w:w="1740" w:type="dxa"/>
            <w:gridSpan w:val="2"/>
          </w:tcPr>
          <w:p>
            <w:pPr>
              <w:pStyle w:val="23"/>
              <w:rPr>
                <w:rFonts w:ascii="Times New Roman"/>
              </w:rPr>
            </w:pPr>
          </w:p>
        </w:tc>
        <w:tc>
          <w:tcPr>
            <w:tcW w:w="1215" w:type="dxa"/>
            <w:gridSpan w:val="2"/>
          </w:tcPr>
          <w:p>
            <w:pPr>
              <w:pStyle w:val="23"/>
              <w:spacing w:before="111"/>
              <w:ind w:left="112"/>
              <w:rPr>
                <w:sz w:val="24"/>
              </w:rPr>
            </w:pPr>
            <w:r>
              <w:rPr>
                <w:sz w:val="24"/>
              </w:rPr>
              <w:t>法人代表</w:t>
            </w:r>
          </w:p>
        </w:tc>
        <w:tc>
          <w:tcPr>
            <w:tcW w:w="2598" w:type="dxa"/>
            <w:gridSpan w:val="2"/>
          </w:tcPr>
          <w:p>
            <w:pPr>
              <w:pStyle w:val="23"/>
              <w:rPr>
                <w:rFonts w:ascii="Times New Roman"/>
              </w:rPr>
            </w:pPr>
          </w:p>
        </w:tc>
        <w:tc>
          <w:tcPr>
            <w:tcW w:w="777" w:type="dxa"/>
          </w:tcPr>
          <w:p>
            <w:pPr>
              <w:pStyle w:val="23"/>
              <w:spacing w:before="111"/>
              <w:ind w:left="116" w:right="131"/>
              <w:jc w:val="center"/>
              <w:rPr>
                <w:sz w:val="24"/>
              </w:rPr>
            </w:pPr>
            <w:r>
              <w:rPr>
                <w:sz w:val="24"/>
              </w:rPr>
              <w:t>职务</w:t>
            </w:r>
          </w:p>
        </w:tc>
        <w:tc>
          <w:tcPr>
            <w:tcW w:w="1380"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tcPr>
          <w:p>
            <w:pPr>
              <w:pStyle w:val="23"/>
              <w:spacing w:before="112"/>
              <w:ind w:left="43" w:right="57"/>
              <w:jc w:val="center"/>
              <w:rPr>
                <w:sz w:val="24"/>
              </w:rPr>
            </w:pPr>
            <w:r>
              <w:rPr>
                <w:sz w:val="24"/>
              </w:rPr>
              <w:t>经济类型</w:t>
            </w:r>
          </w:p>
        </w:tc>
        <w:tc>
          <w:tcPr>
            <w:tcW w:w="1740" w:type="dxa"/>
            <w:gridSpan w:val="2"/>
          </w:tcPr>
          <w:p>
            <w:pPr>
              <w:pStyle w:val="23"/>
              <w:rPr>
                <w:rFonts w:ascii="Times New Roman"/>
              </w:rPr>
            </w:pPr>
          </w:p>
        </w:tc>
        <w:tc>
          <w:tcPr>
            <w:tcW w:w="1215" w:type="dxa"/>
            <w:gridSpan w:val="2"/>
          </w:tcPr>
          <w:p>
            <w:pPr>
              <w:pStyle w:val="23"/>
              <w:spacing w:before="112"/>
              <w:ind w:left="112"/>
              <w:rPr>
                <w:sz w:val="24"/>
              </w:rPr>
            </w:pPr>
            <w:r>
              <w:rPr>
                <w:sz w:val="24"/>
              </w:rPr>
              <w:t>授权代表</w:t>
            </w:r>
          </w:p>
        </w:tc>
        <w:tc>
          <w:tcPr>
            <w:tcW w:w="2598" w:type="dxa"/>
            <w:gridSpan w:val="2"/>
          </w:tcPr>
          <w:p>
            <w:pPr>
              <w:pStyle w:val="23"/>
              <w:rPr>
                <w:rFonts w:ascii="Times New Roman"/>
              </w:rPr>
            </w:pPr>
          </w:p>
        </w:tc>
        <w:tc>
          <w:tcPr>
            <w:tcW w:w="777" w:type="dxa"/>
          </w:tcPr>
          <w:p>
            <w:pPr>
              <w:pStyle w:val="23"/>
              <w:spacing w:before="112"/>
              <w:ind w:left="116" w:right="131"/>
              <w:jc w:val="center"/>
              <w:rPr>
                <w:sz w:val="24"/>
              </w:rPr>
            </w:pPr>
            <w:r>
              <w:rPr>
                <w:sz w:val="24"/>
              </w:rPr>
              <w:t>职务</w:t>
            </w:r>
          </w:p>
        </w:tc>
        <w:tc>
          <w:tcPr>
            <w:tcW w:w="1380"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tcPr>
          <w:p>
            <w:pPr>
              <w:pStyle w:val="23"/>
              <w:spacing w:before="111"/>
              <w:ind w:left="43" w:right="57"/>
              <w:jc w:val="center"/>
              <w:rPr>
                <w:sz w:val="24"/>
              </w:rPr>
            </w:pPr>
            <w:r>
              <w:rPr>
                <w:sz w:val="24"/>
              </w:rPr>
              <w:t>邮编</w:t>
            </w:r>
          </w:p>
        </w:tc>
        <w:tc>
          <w:tcPr>
            <w:tcW w:w="1740" w:type="dxa"/>
            <w:gridSpan w:val="2"/>
          </w:tcPr>
          <w:p>
            <w:pPr>
              <w:pStyle w:val="23"/>
              <w:rPr>
                <w:rFonts w:ascii="Times New Roman"/>
              </w:rPr>
            </w:pPr>
          </w:p>
        </w:tc>
        <w:tc>
          <w:tcPr>
            <w:tcW w:w="1215" w:type="dxa"/>
            <w:gridSpan w:val="2"/>
          </w:tcPr>
          <w:p>
            <w:pPr>
              <w:pStyle w:val="23"/>
              <w:spacing w:before="111"/>
              <w:ind w:left="352"/>
              <w:rPr>
                <w:sz w:val="24"/>
              </w:rPr>
            </w:pPr>
            <w:r>
              <w:rPr>
                <w:sz w:val="24"/>
              </w:rPr>
              <w:t>电话</w:t>
            </w:r>
          </w:p>
        </w:tc>
        <w:tc>
          <w:tcPr>
            <w:tcW w:w="2598" w:type="dxa"/>
            <w:gridSpan w:val="2"/>
          </w:tcPr>
          <w:p>
            <w:pPr>
              <w:pStyle w:val="23"/>
              <w:rPr>
                <w:rFonts w:ascii="Times New Roman"/>
              </w:rPr>
            </w:pPr>
          </w:p>
        </w:tc>
        <w:tc>
          <w:tcPr>
            <w:tcW w:w="777" w:type="dxa"/>
          </w:tcPr>
          <w:p>
            <w:pPr>
              <w:pStyle w:val="23"/>
              <w:spacing w:before="111"/>
              <w:ind w:left="116" w:right="131"/>
              <w:jc w:val="center"/>
              <w:rPr>
                <w:sz w:val="24"/>
              </w:rPr>
            </w:pPr>
            <w:r>
              <w:rPr>
                <w:sz w:val="24"/>
              </w:rPr>
              <w:t>传真</w:t>
            </w:r>
          </w:p>
        </w:tc>
        <w:tc>
          <w:tcPr>
            <w:tcW w:w="1380" w:type="dxa"/>
            <w:gridSpan w:val="2"/>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11" w:type="dxa"/>
          </w:tcPr>
          <w:p>
            <w:pPr>
              <w:pStyle w:val="23"/>
              <w:spacing w:before="1"/>
              <w:ind w:left="64" w:hanging="3"/>
              <w:rPr>
                <w:sz w:val="24"/>
              </w:rPr>
            </w:pPr>
            <w:r>
              <w:rPr>
                <w:sz w:val="24"/>
              </w:rPr>
              <w:t>单位简介</w:t>
            </w:r>
          </w:p>
          <w:p>
            <w:pPr>
              <w:pStyle w:val="23"/>
              <w:spacing w:before="3" w:line="310" w:lineRule="atLeast"/>
              <w:ind w:left="424" w:right="74" w:hanging="360"/>
              <w:rPr>
                <w:sz w:val="24"/>
              </w:rPr>
            </w:pPr>
            <w:r>
              <w:rPr>
                <w:sz w:val="24"/>
              </w:rPr>
              <w:t>及机构设置</w:t>
            </w:r>
          </w:p>
        </w:tc>
        <w:tc>
          <w:tcPr>
            <w:tcW w:w="7710" w:type="dxa"/>
            <w:gridSpan w:val="9"/>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111" w:type="dxa"/>
          </w:tcPr>
          <w:p>
            <w:pPr>
              <w:pStyle w:val="23"/>
              <w:spacing w:before="56" w:line="242" w:lineRule="auto"/>
              <w:ind w:left="184" w:right="76" w:hanging="123"/>
              <w:rPr>
                <w:sz w:val="24"/>
              </w:rPr>
            </w:pPr>
            <w:r>
              <w:rPr>
                <w:sz w:val="24"/>
              </w:rPr>
              <w:t>单位优势及特长</w:t>
            </w:r>
          </w:p>
        </w:tc>
        <w:tc>
          <w:tcPr>
            <w:tcW w:w="7710" w:type="dxa"/>
            <w:gridSpan w:val="9"/>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restart"/>
          </w:tcPr>
          <w:p>
            <w:pPr>
              <w:pStyle w:val="23"/>
              <w:rPr>
                <w:b/>
                <w:sz w:val="24"/>
              </w:rPr>
            </w:pPr>
          </w:p>
          <w:p>
            <w:pPr>
              <w:pStyle w:val="23"/>
              <w:rPr>
                <w:b/>
                <w:sz w:val="24"/>
              </w:rPr>
            </w:pPr>
          </w:p>
          <w:p>
            <w:pPr>
              <w:pStyle w:val="23"/>
              <w:spacing w:before="171"/>
              <w:ind w:left="62"/>
              <w:rPr>
                <w:sz w:val="24"/>
              </w:rPr>
            </w:pPr>
            <w:r>
              <w:rPr>
                <w:sz w:val="24"/>
              </w:rPr>
              <w:t>单位概况</w:t>
            </w:r>
          </w:p>
        </w:tc>
        <w:tc>
          <w:tcPr>
            <w:tcW w:w="1230" w:type="dxa"/>
          </w:tcPr>
          <w:p>
            <w:pPr>
              <w:pStyle w:val="23"/>
              <w:spacing w:before="111"/>
              <w:ind w:left="101" w:right="119"/>
              <w:jc w:val="center"/>
              <w:rPr>
                <w:sz w:val="24"/>
              </w:rPr>
            </w:pPr>
            <w:r>
              <w:rPr>
                <w:sz w:val="24"/>
              </w:rPr>
              <w:t>注册资本</w:t>
            </w:r>
          </w:p>
        </w:tc>
        <w:tc>
          <w:tcPr>
            <w:tcW w:w="1455" w:type="dxa"/>
            <w:gridSpan w:val="2"/>
          </w:tcPr>
          <w:p>
            <w:pPr>
              <w:pStyle w:val="23"/>
              <w:rPr>
                <w:rFonts w:ascii="Times New Roman"/>
              </w:rPr>
            </w:pPr>
          </w:p>
        </w:tc>
        <w:tc>
          <w:tcPr>
            <w:tcW w:w="1245" w:type="dxa"/>
            <w:gridSpan w:val="2"/>
          </w:tcPr>
          <w:p>
            <w:pPr>
              <w:pStyle w:val="23"/>
              <w:spacing w:before="111"/>
              <w:ind w:left="127"/>
              <w:rPr>
                <w:sz w:val="24"/>
              </w:rPr>
            </w:pPr>
            <w:r>
              <w:rPr>
                <w:sz w:val="24"/>
              </w:rPr>
              <w:t>占地面积</w:t>
            </w:r>
          </w:p>
        </w:tc>
        <w:tc>
          <w:tcPr>
            <w:tcW w:w="3780" w:type="dxa"/>
            <w:gridSpan w:val="4"/>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continue"/>
            <w:tcBorders>
              <w:top w:val="nil"/>
            </w:tcBorders>
          </w:tcPr>
          <w:p>
            <w:pPr>
              <w:rPr>
                <w:sz w:val="2"/>
                <w:szCs w:val="2"/>
              </w:rPr>
            </w:pPr>
          </w:p>
        </w:tc>
        <w:tc>
          <w:tcPr>
            <w:tcW w:w="1230" w:type="dxa"/>
          </w:tcPr>
          <w:p>
            <w:pPr>
              <w:pStyle w:val="23"/>
              <w:spacing w:before="113" w:line="307" w:lineRule="exact"/>
              <w:ind w:left="101" w:right="119"/>
              <w:jc w:val="center"/>
              <w:rPr>
                <w:sz w:val="24"/>
              </w:rPr>
            </w:pPr>
            <w:r>
              <w:rPr>
                <w:sz w:val="24"/>
              </w:rPr>
              <w:t>职工总数</w:t>
            </w:r>
          </w:p>
        </w:tc>
        <w:tc>
          <w:tcPr>
            <w:tcW w:w="1455" w:type="dxa"/>
            <w:gridSpan w:val="2"/>
          </w:tcPr>
          <w:p>
            <w:pPr>
              <w:pStyle w:val="23"/>
              <w:rPr>
                <w:rFonts w:ascii="Times New Roman"/>
              </w:rPr>
            </w:pPr>
          </w:p>
        </w:tc>
        <w:tc>
          <w:tcPr>
            <w:tcW w:w="1245" w:type="dxa"/>
            <w:gridSpan w:val="2"/>
          </w:tcPr>
          <w:p>
            <w:pPr>
              <w:pStyle w:val="23"/>
              <w:spacing w:before="113" w:line="307" w:lineRule="exact"/>
              <w:ind w:left="127"/>
              <w:rPr>
                <w:sz w:val="24"/>
              </w:rPr>
            </w:pPr>
            <w:r>
              <w:rPr>
                <w:sz w:val="24"/>
              </w:rPr>
              <w:t>建筑面积</w:t>
            </w:r>
          </w:p>
        </w:tc>
        <w:tc>
          <w:tcPr>
            <w:tcW w:w="3780" w:type="dxa"/>
            <w:gridSpan w:val="4"/>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continue"/>
            <w:tcBorders>
              <w:top w:val="nil"/>
            </w:tcBorders>
          </w:tcPr>
          <w:p>
            <w:pPr>
              <w:rPr>
                <w:sz w:val="2"/>
                <w:szCs w:val="2"/>
              </w:rPr>
            </w:pPr>
          </w:p>
        </w:tc>
        <w:tc>
          <w:tcPr>
            <w:tcW w:w="1230" w:type="dxa"/>
            <w:vMerge w:val="restart"/>
          </w:tcPr>
          <w:p>
            <w:pPr>
              <w:pStyle w:val="23"/>
              <w:spacing w:before="4"/>
              <w:rPr>
                <w:b/>
                <w:sz w:val="26"/>
              </w:rPr>
            </w:pPr>
          </w:p>
          <w:p>
            <w:pPr>
              <w:pStyle w:val="23"/>
              <w:ind w:left="119"/>
              <w:rPr>
                <w:sz w:val="24"/>
              </w:rPr>
            </w:pPr>
            <w:r>
              <w:rPr>
                <w:sz w:val="24"/>
              </w:rPr>
              <w:t>资产情况</w:t>
            </w:r>
          </w:p>
        </w:tc>
        <w:tc>
          <w:tcPr>
            <w:tcW w:w="1455" w:type="dxa"/>
            <w:gridSpan w:val="2"/>
          </w:tcPr>
          <w:p>
            <w:pPr>
              <w:pStyle w:val="23"/>
              <w:spacing w:before="111"/>
              <w:ind w:left="353"/>
              <w:rPr>
                <w:sz w:val="24"/>
              </w:rPr>
            </w:pPr>
            <w:r>
              <w:rPr>
                <w:sz w:val="24"/>
              </w:rPr>
              <w:t>净资产</w:t>
            </w:r>
          </w:p>
        </w:tc>
        <w:tc>
          <w:tcPr>
            <w:tcW w:w="1245" w:type="dxa"/>
            <w:gridSpan w:val="2"/>
          </w:tcPr>
          <w:p>
            <w:pPr>
              <w:pStyle w:val="23"/>
              <w:rPr>
                <w:rFonts w:ascii="Times New Roman"/>
              </w:rPr>
            </w:pPr>
          </w:p>
        </w:tc>
        <w:tc>
          <w:tcPr>
            <w:tcW w:w="1623" w:type="dxa"/>
          </w:tcPr>
          <w:p>
            <w:pPr>
              <w:pStyle w:val="23"/>
              <w:spacing w:before="111"/>
              <w:ind w:left="59" w:right="74"/>
              <w:jc w:val="center"/>
              <w:rPr>
                <w:sz w:val="24"/>
              </w:rPr>
            </w:pPr>
            <w:r>
              <w:rPr>
                <w:sz w:val="24"/>
              </w:rPr>
              <w:t>固定资产原值</w:t>
            </w:r>
          </w:p>
        </w:tc>
        <w:tc>
          <w:tcPr>
            <w:tcW w:w="2157" w:type="dxa"/>
            <w:gridSpan w:val="3"/>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continue"/>
            <w:tcBorders>
              <w:top w:val="nil"/>
            </w:tcBorders>
          </w:tcPr>
          <w:p>
            <w:pPr>
              <w:rPr>
                <w:sz w:val="2"/>
                <w:szCs w:val="2"/>
              </w:rPr>
            </w:pPr>
          </w:p>
        </w:tc>
        <w:tc>
          <w:tcPr>
            <w:tcW w:w="1230" w:type="dxa"/>
            <w:vMerge w:val="continue"/>
            <w:tcBorders>
              <w:top w:val="nil"/>
            </w:tcBorders>
          </w:tcPr>
          <w:p>
            <w:pPr>
              <w:rPr>
                <w:sz w:val="2"/>
                <w:szCs w:val="2"/>
              </w:rPr>
            </w:pPr>
          </w:p>
        </w:tc>
        <w:tc>
          <w:tcPr>
            <w:tcW w:w="1455" w:type="dxa"/>
            <w:gridSpan w:val="2"/>
          </w:tcPr>
          <w:p>
            <w:pPr>
              <w:pStyle w:val="23"/>
              <w:spacing w:before="113" w:line="307" w:lineRule="exact"/>
              <w:ind w:left="473"/>
              <w:rPr>
                <w:sz w:val="24"/>
              </w:rPr>
            </w:pPr>
            <w:r>
              <w:rPr>
                <w:sz w:val="24"/>
              </w:rPr>
              <w:t>负债</w:t>
            </w:r>
          </w:p>
        </w:tc>
        <w:tc>
          <w:tcPr>
            <w:tcW w:w="1245" w:type="dxa"/>
            <w:gridSpan w:val="2"/>
          </w:tcPr>
          <w:p>
            <w:pPr>
              <w:pStyle w:val="23"/>
              <w:rPr>
                <w:rFonts w:ascii="Times New Roman"/>
              </w:rPr>
            </w:pPr>
          </w:p>
        </w:tc>
        <w:tc>
          <w:tcPr>
            <w:tcW w:w="1623" w:type="dxa"/>
          </w:tcPr>
          <w:p>
            <w:pPr>
              <w:pStyle w:val="23"/>
              <w:spacing w:before="113" w:line="307" w:lineRule="exact"/>
              <w:ind w:left="59" w:right="74"/>
              <w:jc w:val="center"/>
              <w:rPr>
                <w:sz w:val="24"/>
              </w:rPr>
            </w:pPr>
            <w:r>
              <w:rPr>
                <w:sz w:val="24"/>
              </w:rPr>
              <w:t>固定资产净值</w:t>
            </w:r>
          </w:p>
        </w:tc>
        <w:tc>
          <w:tcPr>
            <w:tcW w:w="2157" w:type="dxa"/>
            <w:gridSpan w:val="3"/>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restart"/>
          </w:tcPr>
          <w:p>
            <w:pPr>
              <w:pStyle w:val="23"/>
              <w:rPr>
                <w:b/>
                <w:sz w:val="24"/>
              </w:rPr>
            </w:pPr>
          </w:p>
          <w:p>
            <w:pPr>
              <w:pStyle w:val="23"/>
              <w:spacing w:before="12"/>
              <w:rPr>
                <w:b/>
                <w:sz w:val="19"/>
              </w:rPr>
            </w:pPr>
          </w:p>
          <w:p>
            <w:pPr>
              <w:pStyle w:val="23"/>
              <w:ind w:left="62"/>
              <w:rPr>
                <w:sz w:val="24"/>
              </w:rPr>
            </w:pPr>
            <w:r>
              <w:rPr>
                <w:sz w:val="24"/>
              </w:rPr>
              <w:t>财务状况</w:t>
            </w:r>
          </w:p>
        </w:tc>
        <w:tc>
          <w:tcPr>
            <w:tcW w:w="1230" w:type="dxa"/>
          </w:tcPr>
          <w:p>
            <w:pPr>
              <w:pStyle w:val="23"/>
              <w:spacing w:before="111"/>
              <w:ind w:left="101" w:right="119"/>
              <w:jc w:val="center"/>
              <w:rPr>
                <w:sz w:val="24"/>
              </w:rPr>
            </w:pPr>
            <w:r>
              <w:rPr>
                <w:sz w:val="24"/>
              </w:rPr>
              <w:t>年度</w:t>
            </w:r>
          </w:p>
        </w:tc>
        <w:tc>
          <w:tcPr>
            <w:tcW w:w="1455" w:type="dxa"/>
            <w:gridSpan w:val="2"/>
          </w:tcPr>
          <w:p>
            <w:pPr>
              <w:pStyle w:val="23"/>
              <w:spacing w:before="111"/>
              <w:ind w:left="233"/>
              <w:rPr>
                <w:sz w:val="24"/>
              </w:rPr>
            </w:pPr>
            <w:r>
              <w:rPr>
                <w:sz w:val="24"/>
              </w:rPr>
              <w:t>主营收入</w:t>
            </w:r>
          </w:p>
        </w:tc>
        <w:tc>
          <w:tcPr>
            <w:tcW w:w="1245" w:type="dxa"/>
            <w:gridSpan w:val="2"/>
          </w:tcPr>
          <w:p>
            <w:pPr>
              <w:pStyle w:val="23"/>
              <w:spacing w:before="111"/>
              <w:ind w:left="127"/>
              <w:rPr>
                <w:sz w:val="24"/>
              </w:rPr>
            </w:pPr>
            <w:r>
              <w:rPr>
                <w:sz w:val="24"/>
              </w:rPr>
              <w:t>收入总额</w:t>
            </w:r>
          </w:p>
        </w:tc>
        <w:tc>
          <w:tcPr>
            <w:tcW w:w="1623" w:type="dxa"/>
          </w:tcPr>
          <w:p>
            <w:pPr>
              <w:pStyle w:val="23"/>
              <w:spacing w:before="111"/>
              <w:ind w:left="59" w:right="74"/>
              <w:jc w:val="center"/>
              <w:rPr>
                <w:sz w:val="24"/>
              </w:rPr>
            </w:pPr>
            <w:r>
              <w:rPr>
                <w:sz w:val="24"/>
              </w:rPr>
              <w:t>利润总额</w:t>
            </w:r>
          </w:p>
        </w:tc>
        <w:tc>
          <w:tcPr>
            <w:tcW w:w="942" w:type="dxa"/>
            <w:gridSpan w:val="2"/>
          </w:tcPr>
          <w:p>
            <w:pPr>
              <w:pStyle w:val="23"/>
              <w:spacing w:before="111"/>
              <w:ind w:left="96"/>
              <w:rPr>
                <w:sz w:val="24"/>
              </w:rPr>
            </w:pPr>
            <w:r>
              <w:rPr>
                <w:sz w:val="24"/>
              </w:rPr>
              <w:t>净利润</w:t>
            </w:r>
          </w:p>
        </w:tc>
        <w:tc>
          <w:tcPr>
            <w:tcW w:w="1215" w:type="dxa"/>
          </w:tcPr>
          <w:p>
            <w:pPr>
              <w:pStyle w:val="23"/>
              <w:spacing w:before="111"/>
              <w:ind w:left="-6"/>
              <w:rPr>
                <w:sz w:val="24"/>
              </w:rPr>
            </w:pPr>
            <w:r>
              <w:rPr>
                <w:sz w:val="24"/>
              </w:rPr>
              <w:t>资产负债率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continue"/>
            <w:tcBorders>
              <w:top w:val="nil"/>
            </w:tcBorders>
          </w:tcPr>
          <w:p>
            <w:pPr>
              <w:rPr>
                <w:sz w:val="2"/>
                <w:szCs w:val="2"/>
              </w:rPr>
            </w:pPr>
          </w:p>
        </w:tc>
        <w:tc>
          <w:tcPr>
            <w:tcW w:w="1230" w:type="dxa"/>
          </w:tcPr>
          <w:p>
            <w:pPr>
              <w:pStyle w:val="23"/>
              <w:rPr>
                <w:rFonts w:ascii="Times New Roman"/>
              </w:rPr>
            </w:pPr>
          </w:p>
        </w:tc>
        <w:tc>
          <w:tcPr>
            <w:tcW w:w="1455" w:type="dxa"/>
            <w:gridSpan w:val="2"/>
          </w:tcPr>
          <w:p>
            <w:pPr>
              <w:pStyle w:val="23"/>
              <w:rPr>
                <w:rFonts w:ascii="Times New Roman"/>
              </w:rPr>
            </w:pPr>
          </w:p>
        </w:tc>
        <w:tc>
          <w:tcPr>
            <w:tcW w:w="1245" w:type="dxa"/>
            <w:gridSpan w:val="2"/>
          </w:tcPr>
          <w:p>
            <w:pPr>
              <w:pStyle w:val="23"/>
              <w:rPr>
                <w:rFonts w:ascii="Times New Roman"/>
              </w:rPr>
            </w:pPr>
          </w:p>
        </w:tc>
        <w:tc>
          <w:tcPr>
            <w:tcW w:w="1623" w:type="dxa"/>
          </w:tcPr>
          <w:p>
            <w:pPr>
              <w:pStyle w:val="23"/>
              <w:rPr>
                <w:rFonts w:ascii="Times New Roman"/>
              </w:rPr>
            </w:pPr>
          </w:p>
        </w:tc>
        <w:tc>
          <w:tcPr>
            <w:tcW w:w="942" w:type="dxa"/>
            <w:gridSpan w:val="2"/>
          </w:tcPr>
          <w:p>
            <w:pPr>
              <w:pStyle w:val="23"/>
              <w:rPr>
                <w:rFonts w:ascii="Times New Roman"/>
              </w:rPr>
            </w:pPr>
          </w:p>
        </w:tc>
        <w:tc>
          <w:tcPr>
            <w:tcW w:w="12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11" w:type="dxa"/>
            <w:vMerge w:val="continue"/>
            <w:tcBorders>
              <w:top w:val="nil"/>
            </w:tcBorders>
          </w:tcPr>
          <w:p>
            <w:pPr>
              <w:rPr>
                <w:sz w:val="2"/>
                <w:szCs w:val="2"/>
              </w:rPr>
            </w:pPr>
          </w:p>
        </w:tc>
        <w:tc>
          <w:tcPr>
            <w:tcW w:w="1230" w:type="dxa"/>
          </w:tcPr>
          <w:p>
            <w:pPr>
              <w:pStyle w:val="23"/>
              <w:rPr>
                <w:rFonts w:ascii="Times New Roman"/>
              </w:rPr>
            </w:pPr>
          </w:p>
        </w:tc>
        <w:tc>
          <w:tcPr>
            <w:tcW w:w="1455" w:type="dxa"/>
            <w:gridSpan w:val="2"/>
          </w:tcPr>
          <w:p>
            <w:pPr>
              <w:pStyle w:val="23"/>
              <w:rPr>
                <w:rFonts w:ascii="Times New Roman"/>
              </w:rPr>
            </w:pPr>
          </w:p>
        </w:tc>
        <w:tc>
          <w:tcPr>
            <w:tcW w:w="1245" w:type="dxa"/>
            <w:gridSpan w:val="2"/>
          </w:tcPr>
          <w:p>
            <w:pPr>
              <w:pStyle w:val="23"/>
              <w:rPr>
                <w:rFonts w:ascii="Times New Roman"/>
              </w:rPr>
            </w:pPr>
          </w:p>
        </w:tc>
        <w:tc>
          <w:tcPr>
            <w:tcW w:w="1623" w:type="dxa"/>
          </w:tcPr>
          <w:p>
            <w:pPr>
              <w:pStyle w:val="23"/>
              <w:rPr>
                <w:rFonts w:ascii="Times New Roman"/>
              </w:rPr>
            </w:pPr>
          </w:p>
        </w:tc>
        <w:tc>
          <w:tcPr>
            <w:tcW w:w="942" w:type="dxa"/>
            <w:gridSpan w:val="2"/>
          </w:tcPr>
          <w:p>
            <w:pPr>
              <w:pStyle w:val="23"/>
              <w:rPr>
                <w:rFonts w:ascii="Times New Roman"/>
              </w:rPr>
            </w:pPr>
          </w:p>
        </w:tc>
        <w:tc>
          <w:tcPr>
            <w:tcW w:w="1215" w:type="dxa"/>
          </w:tcPr>
          <w:p>
            <w:pPr>
              <w:pStyle w:val="23"/>
              <w:rPr>
                <w:rFonts w:ascii="Times New Roman"/>
              </w:rPr>
            </w:pPr>
          </w:p>
        </w:tc>
      </w:tr>
    </w:tbl>
    <w:p>
      <w:pPr>
        <w:pStyle w:val="12"/>
        <w:spacing w:before="106"/>
        <w:ind w:left="760"/>
      </w:pPr>
      <w:r>
        <w:t>注：</w:t>
      </w:r>
    </w:p>
    <w:p>
      <w:pPr>
        <w:pStyle w:val="12"/>
        <w:spacing w:before="184" w:line="364" w:lineRule="auto"/>
        <w:ind w:left="760" w:right="1085" w:firstLine="420"/>
      </w:pPr>
      <w:r>
        <w:t>1、上表内容可以采用文字描述（企业性质、发展历程、经营规模及服务理念、主营产品、技术力量等）或图片描述（经营场所、主要经营项目等）。</w:t>
      </w:r>
    </w:p>
    <w:p>
      <w:pPr>
        <w:pStyle w:val="12"/>
        <w:spacing w:before="28"/>
        <w:ind w:left="1180"/>
      </w:pPr>
      <w:r>
        <w:t xml:space="preserve">2、投标人必须提供 </w:t>
      </w:r>
      <w:r>
        <w:rPr>
          <w:u w:val="single"/>
        </w:rPr>
        <w:t>2018</w:t>
      </w:r>
      <w:r>
        <w:rPr>
          <w:rFonts w:hint="eastAsia"/>
          <w:u w:val="single"/>
          <w:lang w:val="en-US"/>
        </w:rPr>
        <w:t>或2019</w:t>
      </w:r>
      <w:r>
        <w:rPr>
          <w:u w:val="single"/>
        </w:rPr>
        <w:t xml:space="preserve"> 年</w:t>
      </w:r>
      <w:r>
        <w:t>的财务报告复印件（加盖公章）。</w:t>
      </w:r>
    </w:p>
    <w:p>
      <w:pPr>
        <w:pStyle w:val="12"/>
        <w:spacing w:before="105"/>
        <w:ind w:left="1180"/>
      </w:pPr>
      <w:r>
        <w:t>3、如投标人此表数据有虚假，一经查实，自行承担相关责任。</w:t>
      </w:r>
    </w:p>
    <w:p>
      <w:pPr>
        <w:pStyle w:val="12"/>
        <w:spacing w:before="2"/>
        <w:rPr>
          <w:sz w:val="32"/>
        </w:rPr>
      </w:pPr>
    </w:p>
    <w:p>
      <w:pPr>
        <w:pStyle w:val="12"/>
        <w:spacing w:before="1" w:line="360" w:lineRule="auto"/>
        <w:ind w:firstLine="5040" w:firstLineChars="2100"/>
        <w:rPr>
          <w:sz w:val="30"/>
        </w:rPr>
      </w:pPr>
      <w:r>
        <w:t>投标人名称（加盖公章）：</w:t>
      </w:r>
    </w:p>
    <w:p>
      <w:pPr>
        <w:pStyle w:val="12"/>
        <w:tabs>
          <w:tab w:val="left" w:pos="5418"/>
          <w:tab w:val="left" w:pos="6018"/>
          <w:tab w:val="left" w:pos="6618"/>
        </w:tabs>
        <w:spacing w:line="360" w:lineRule="auto"/>
        <w:jc w:val="right"/>
        <w:rPr>
          <w:spacing w:val="-9"/>
        </w:rPr>
      </w:pPr>
      <w:r>
        <w:t>投标人法定代表人或其授权代表（签字</w:t>
      </w:r>
      <w:r>
        <w:rPr>
          <w:rFonts w:hint="eastAsia"/>
          <w:lang w:val="en-US"/>
        </w:rPr>
        <w:t>或盖章</w:t>
      </w:r>
      <w:r>
        <w:rPr>
          <w:spacing w:val="-9"/>
        </w:rPr>
        <w:t>）：</w:t>
      </w:r>
    </w:p>
    <w:p>
      <w:pPr>
        <w:pStyle w:val="12"/>
        <w:tabs>
          <w:tab w:val="left" w:pos="5418"/>
          <w:tab w:val="left" w:pos="6018"/>
          <w:tab w:val="left" w:pos="6618"/>
        </w:tabs>
        <w:spacing w:line="360" w:lineRule="auto"/>
        <w:jc w:val="right"/>
      </w:pPr>
      <w:r>
        <w:rPr>
          <w:spacing w:val="-9"/>
        </w:rPr>
        <w:t xml:space="preserve"> </w:t>
      </w:r>
      <w:r>
        <w:t>日期：</w:t>
      </w:r>
      <w:r>
        <w:rPr>
          <w:rFonts w:hint="eastAsia"/>
          <w:lang w:val="en-US"/>
        </w:rPr>
        <w:t xml:space="preserve">  </w:t>
      </w:r>
      <w:r>
        <w:t>年</w:t>
      </w:r>
      <w:r>
        <w:rPr>
          <w:rFonts w:hint="eastAsia"/>
          <w:lang w:val="en-US"/>
        </w:rPr>
        <w:t xml:space="preserve">  </w:t>
      </w:r>
      <w:r>
        <w:t>月</w:t>
      </w:r>
      <w:r>
        <w:rPr>
          <w:rFonts w:hint="eastAsia"/>
          <w:lang w:val="en-US"/>
        </w:rPr>
        <w:t xml:space="preserve">  </w:t>
      </w:r>
      <w:r>
        <w:t>日</w:t>
      </w:r>
    </w:p>
    <w:p>
      <w:r>
        <w:rPr>
          <w:rFonts w:hint="eastAsia"/>
        </w:rPr>
        <w:br w:type="page"/>
      </w:r>
    </w:p>
    <w:p>
      <w:pPr>
        <w:pStyle w:val="5"/>
        <w:tabs>
          <w:tab w:val="left" w:pos="851"/>
        </w:tabs>
      </w:pPr>
      <w:r>
        <w:rPr>
          <w:rFonts w:hint="eastAsia"/>
          <w:lang w:val="en-US"/>
        </w:rPr>
        <w:t>2</w:t>
      </w:r>
      <w:r>
        <w:rPr>
          <w:rFonts w:hint="eastAsia"/>
        </w:rPr>
        <w:t>、</w:t>
      </w:r>
      <w:r>
        <w:t>投标函</w:t>
      </w:r>
    </w:p>
    <w:p/>
    <w:p>
      <w:pPr>
        <w:pStyle w:val="12"/>
        <w:spacing w:line="360" w:lineRule="auto"/>
        <w:ind w:firstLine="420" w:firstLineChars="200"/>
        <w:rPr>
          <w:sz w:val="21"/>
          <w:szCs w:val="21"/>
        </w:rPr>
      </w:pPr>
      <w:r>
        <w:rPr>
          <w:sz w:val="21"/>
          <w:szCs w:val="21"/>
        </w:rPr>
        <w:t>致：</w:t>
      </w:r>
      <w:r>
        <w:rPr>
          <w:rFonts w:hint="eastAsia"/>
          <w:sz w:val="21"/>
          <w:szCs w:val="21"/>
        </w:rPr>
        <w:t>中达安股份有限公司</w:t>
      </w:r>
    </w:p>
    <w:p>
      <w:pPr>
        <w:pStyle w:val="12"/>
        <w:tabs>
          <w:tab w:val="left" w:pos="3742"/>
          <w:tab w:val="left" w:pos="8202"/>
        </w:tabs>
        <w:spacing w:line="360" w:lineRule="auto"/>
        <w:ind w:firstLine="420" w:firstLineChars="200"/>
        <w:rPr>
          <w:sz w:val="21"/>
          <w:szCs w:val="21"/>
        </w:rPr>
      </w:pPr>
      <w:r>
        <w:rPr>
          <w:sz w:val="21"/>
          <w:szCs w:val="21"/>
        </w:rPr>
        <w:t>我</w:t>
      </w:r>
      <w:r>
        <w:rPr>
          <w:spacing w:val="-33"/>
          <w:sz w:val="21"/>
          <w:szCs w:val="21"/>
        </w:rPr>
        <w:t xml:space="preserve"> </w:t>
      </w:r>
      <w:r>
        <w:rPr>
          <w:sz w:val="21"/>
          <w:szCs w:val="21"/>
        </w:rPr>
        <w:t>方</w:t>
      </w:r>
      <w:r>
        <w:rPr>
          <w:spacing w:val="-33"/>
          <w:sz w:val="21"/>
          <w:szCs w:val="21"/>
        </w:rPr>
        <w:t xml:space="preserve"> </w:t>
      </w:r>
      <w:r>
        <w:rPr>
          <w:sz w:val="21"/>
          <w:szCs w:val="21"/>
        </w:rPr>
        <w:t>收</w:t>
      </w:r>
      <w:r>
        <w:rPr>
          <w:spacing w:val="-33"/>
          <w:sz w:val="21"/>
          <w:szCs w:val="21"/>
        </w:rPr>
        <w:t xml:space="preserve"> </w:t>
      </w:r>
      <w:r>
        <w:rPr>
          <w:sz w:val="21"/>
          <w:szCs w:val="21"/>
        </w:rPr>
        <w:t>到</w:t>
      </w:r>
      <w:r>
        <w:rPr>
          <w:spacing w:val="-30"/>
          <w:sz w:val="21"/>
          <w:szCs w:val="21"/>
        </w:rPr>
        <w:t xml:space="preserve"> </w:t>
      </w:r>
      <w:r>
        <w:rPr>
          <w:sz w:val="21"/>
          <w:szCs w:val="21"/>
        </w:rPr>
        <w:t>贵</w:t>
      </w:r>
      <w:r>
        <w:rPr>
          <w:spacing w:val="-33"/>
          <w:sz w:val="21"/>
          <w:szCs w:val="21"/>
        </w:rPr>
        <w:t xml:space="preserve"> </w:t>
      </w:r>
      <w:r>
        <w:rPr>
          <w:sz w:val="21"/>
          <w:szCs w:val="21"/>
        </w:rPr>
        <w:t>方</w:t>
      </w:r>
      <w:r>
        <w:rPr>
          <w:spacing w:val="-33"/>
          <w:sz w:val="21"/>
          <w:szCs w:val="21"/>
        </w:rPr>
        <w:t xml:space="preserve"> </w:t>
      </w:r>
      <w:r>
        <w:rPr>
          <w:sz w:val="21"/>
          <w:szCs w:val="21"/>
        </w:rPr>
        <w:t>关</w:t>
      </w:r>
      <w:r>
        <w:rPr>
          <w:spacing w:val="-30"/>
          <w:sz w:val="21"/>
          <w:szCs w:val="21"/>
        </w:rPr>
        <w:t xml:space="preserve"> </w:t>
      </w:r>
      <w:r>
        <w:rPr>
          <w:sz w:val="21"/>
          <w:szCs w:val="21"/>
        </w:rPr>
        <w:t>于</w:t>
      </w:r>
      <w:r>
        <w:rPr>
          <w:sz w:val="21"/>
          <w:szCs w:val="21"/>
          <w:u w:val="single"/>
        </w:rPr>
        <w:t xml:space="preserve"> </w:t>
      </w:r>
      <w:r>
        <w:rPr>
          <w:rFonts w:hint="eastAsia"/>
          <w:sz w:val="21"/>
          <w:szCs w:val="21"/>
          <w:u w:val="single"/>
        </w:rPr>
        <w:t>广州市杂技艺术剧院有限责任公司小剧场舞台机械改造</w:t>
      </w:r>
      <w:r>
        <w:rPr>
          <w:sz w:val="21"/>
          <w:szCs w:val="21"/>
          <w:u w:val="single"/>
        </w:rPr>
        <w:tab/>
      </w:r>
      <w:r>
        <w:rPr>
          <w:sz w:val="21"/>
          <w:szCs w:val="21"/>
        </w:rPr>
        <w:t>（</w:t>
      </w:r>
      <w:r>
        <w:rPr>
          <w:spacing w:val="-33"/>
          <w:sz w:val="21"/>
          <w:szCs w:val="21"/>
        </w:rPr>
        <w:t xml:space="preserve"> </w:t>
      </w:r>
      <w:r>
        <w:rPr>
          <w:sz w:val="21"/>
          <w:szCs w:val="21"/>
        </w:rPr>
        <w:t>项</w:t>
      </w:r>
      <w:r>
        <w:rPr>
          <w:spacing w:val="-34"/>
          <w:sz w:val="21"/>
          <w:szCs w:val="21"/>
        </w:rPr>
        <w:t xml:space="preserve"> </w:t>
      </w:r>
      <w:r>
        <w:rPr>
          <w:sz w:val="21"/>
          <w:szCs w:val="21"/>
        </w:rPr>
        <w:t>目</w:t>
      </w:r>
      <w:r>
        <w:rPr>
          <w:spacing w:val="-33"/>
          <w:sz w:val="21"/>
          <w:szCs w:val="21"/>
        </w:rPr>
        <w:t xml:space="preserve"> </w:t>
      </w:r>
      <w:r>
        <w:rPr>
          <w:sz w:val="21"/>
          <w:szCs w:val="21"/>
        </w:rPr>
        <w:t>编</w:t>
      </w:r>
      <w:r>
        <w:rPr>
          <w:spacing w:val="-30"/>
          <w:sz w:val="21"/>
          <w:szCs w:val="21"/>
        </w:rPr>
        <w:t xml:space="preserve"> </w:t>
      </w:r>
      <w:r>
        <w:rPr>
          <w:sz w:val="21"/>
          <w:szCs w:val="21"/>
        </w:rPr>
        <w:t>号</w:t>
      </w:r>
      <w:r>
        <w:rPr>
          <w:spacing w:val="-31"/>
          <w:sz w:val="21"/>
          <w:szCs w:val="21"/>
        </w:rPr>
        <w:t xml:space="preserve"> </w:t>
      </w:r>
      <w:r>
        <w:rPr>
          <w:sz w:val="21"/>
          <w:szCs w:val="21"/>
          <w:u w:val="single"/>
        </w:rPr>
        <w:t>：</w:t>
      </w:r>
      <w:r>
        <w:rPr>
          <w:sz w:val="21"/>
          <w:szCs w:val="21"/>
          <w:u w:val="single"/>
          <w:lang w:val="en-US"/>
        </w:rPr>
        <w:t xml:space="preserve">ZDA2020-0623  </w:t>
      </w:r>
      <w:r>
        <w:rPr>
          <w:sz w:val="21"/>
          <w:szCs w:val="21"/>
        </w:rPr>
        <w:t>）的招标文件，我方完全理解招标文件的所有内容，现决定投标本项目，据此我方承诺如下：</w:t>
      </w:r>
    </w:p>
    <w:p>
      <w:pPr>
        <w:pStyle w:val="12"/>
        <w:spacing w:line="360" w:lineRule="auto"/>
        <w:ind w:firstLine="420" w:firstLineChars="200"/>
        <w:rPr>
          <w:sz w:val="21"/>
          <w:szCs w:val="21"/>
        </w:rPr>
      </w:pPr>
      <w:r>
        <w:rPr>
          <w:sz w:val="21"/>
          <w:szCs w:val="21"/>
        </w:rPr>
        <w:t>1</w:t>
      </w:r>
      <w:r>
        <w:rPr>
          <w:spacing w:val="-6"/>
          <w:sz w:val="21"/>
          <w:szCs w:val="21"/>
        </w:rPr>
        <w:t xml:space="preserve">、 我方的投标文件在投标截止日后 </w:t>
      </w:r>
      <w:r>
        <w:rPr>
          <w:sz w:val="21"/>
          <w:szCs w:val="21"/>
        </w:rPr>
        <w:t>90</w:t>
      </w:r>
      <w:r>
        <w:rPr>
          <w:spacing w:val="-25"/>
          <w:sz w:val="21"/>
          <w:szCs w:val="21"/>
        </w:rPr>
        <w:t xml:space="preserve"> 天</w:t>
      </w:r>
      <w:r>
        <w:rPr>
          <w:sz w:val="21"/>
          <w:szCs w:val="21"/>
        </w:rPr>
        <w:t>（</w:t>
      </w:r>
      <w:r>
        <w:rPr>
          <w:spacing w:val="-2"/>
          <w:sz w:val="21"/>
          <w:szCs w:val="21"/>
        </w:rPr>
        <w:t>日历天</w:t>
      </w:r>
      <w:r>
        <w:rPr>
          <w:spacing w:val="-5"/>
          <w:sz w:val="21"/>
          <w:szCs w:val="21"/>
        </w:rPr>
        <w:t>）内保持有效，如中标，有效期将延至本项目《采购</w:t>
      </w:r>
      <w:r>
        <w:rPr>
          <w:spacing w:val="-4"/>
          <w:sz w:val="21"/>
          <w:szCs w:val="21"/>
        </w:rPr>
        <w:t>合同》执行期满日为止。</w:t>
      </w:r>
    </w:p>
    <w:p>
      <w:pPr>
        <w:pStyle w:val="12"/>
        <w:spacing w:line="360" w:lineRule="auto"/>
        <w:ind w:firstLine="420" w:firstLineChars="200"/>
        <w:rPr>
          <w:sz w:val="21"/>
          <w:szCs w:val="21"/>
        </w:rPr>
      </w:pPr>
      <w:r>
        <w:rPr>
          <w:sz w:val="21"/>
          <w:szCs w:val="21"/>
        </w:rPr>
        <w:t>2</w:t>
      </w:r>
      <w:r>
        <w:rPr>
          <w:spacing w:val="-1"/>
          <w:sz w:val="21"/>
          <w:szCs w:val="21"/>
        </w:rPr>
        <w:t>、 我方在参与投标前已仔细研究了招标文件和所有相关资料，我方完全明白并认为此招标文件没有倾向性，也没有存在排斥潜在投标人的内容，我方同意招标文件的相关条款，放弃对招标文件提出误</w:t>
      </w:r>
      <w:r>
        <w:rPr>
          <w:spacing w:val="-3"/>
          <w:sz w:val="21"/>
          <w:szCs w:val="21"/>
        </w:rPr>
        <w:t>解和质疑的一切权利。</w:t>
      </w:r>
    </w:p>
    <w:p>
      <w:pPr>
        <w:pStyle w:val="12"/>
        <w:spacing w:line="360" w:lineRule="auto"/>
        <w:ind w:firstLine="420" w:firstLineChars="200"/>
        <w:rPr>
          <w:sz w:val="21"/>
          <w:szCs w:val="21"/>
        </w:rPr>
      </w:pPr>
      <w:r>
        <w:rPr>
          <w:sz w:val="21"/>
          <w:szCs w:val="21"/>
        </w:rPr>
        <w:t>3</w:t>
      </w:r>
      <w:r>
        <w:rPr>
          <w:spacing w:val="-1"/>
          <w:sz w:val="21"/>
          <w:szCs w:val="21"/>
        </w:rPr>
        <w:t>、 我方作为在法律、财务和运作上独立于采购方、招标代理机构的投标供应商，在此保证所提交的所有文件和全部说明是真实的和正确的。由于我方提供资料不实而造成的责任和后果由我方承担。我</w:t>
      </w:r>
      <w:r>
        <w:rPr>
          <w:spacing w:val="-3"/>
          <w:sz w:val="21"/>
          <w:szCs w:val="21"/>
        </w:rPr>
        <w:t>方同意按照贵方提出的要求，提供与投标有关的任何其它数据或信息。</w:t>
      </w:r>
    </w:p>
    <w:p>
      <w:pPr>
        <w:pStyle w:val="12"/>
        <w:spacing w:line="360" w:lineRule="auto"/>
        <w:ind w:firstLine="420" w:firstLineChars="200"/>
        <w:rPr>
          <w:sz w:val="21"/>
          <w:szCs w:val="21"/>
        </w:rPr>
      </w:pPr>
      <w:r>
        <w:rPr>
          <w:sz w:val="21"/>
          <w:szCs w:val="21"/>
        </w:rPr>
        <w:t>4、 我方理解贵方不一定接受最低报价的投标。</w:t>
      </w:r>
    </w:p>
    <w:p>
      <w:pPr>
        <w:pStyle w:val="12"/>
        <w:spacing w:line="360" w:lineRule="auto"/>
        <w:ind w:firstLine="420" w:firstLineChars="200"/>
        <w:rPr>
          <w:sz w:val="21"/>
          <w:szCs w:val="21"/>
        </w:rPr>
      </w:pPr>
      <w:r>
        <w:rPr>
          <w:sz w:val="21"/>
          <w:szCs w:val="21"/>
        </w:rPr>
        <w:t>5</w:t>
      </w:r>
      <w:r>
        <w:rPr>
          <w:spacing w:val="-3"/>
          <w:sz w:val="21"/>
          <w:szCs w:val="21"/>
        </w:rPr>
        <w:t>、 我方同意如在本项目开标后、投标有效期之内撤回投标的，贵方将不退还投标保证金（</w:t>
      </w:r>
      <w:r>
        <w:rPr>
          <w:spacing w:val="-2"/>
          <w:sz w:val="21"/>
          <w:szCs w:val="21"/>
        </w:rPr>
        <w:t>如有</w:t>
      </w:r>
      <w:r>
        <w:rPr>
          <w:spacing w:val="-106"/>
          <w:sz w:val="21"/>
          <w:szCs w:val="21"/>
        </w:rPr>
        <w:t>）</w:t>
      </w:r>
      <w:r>
        <w:rPr>
          <w:sz w:val="21"/>
          <w:szCs w:val="21"/>
        </w:rPr>
        <w:t>。</w:t>
      </w:r>
    </w:p>
    <w:p>
      <w:pPr>
        <w:pStyle w:val="12"/>
        <w:spacing w:line="360" w:lineRule="auto"/>
        <w:ind w:firstLine="420" w:firstLineChars="200"/>
        <w:rPr>
          <w:sz w:val="21"/>
          <w:szCs w:val="21"/>
        </w:rPr>
      </w:pPr>
      <w:r>
        <w:rPr>
          <w:sz w:val="21"/>
          <w:szCs w:val="21"/>
        </w:rPr>
        <w:t>6、 我方如果中标，保证履行投标文件中承诺的全部责任和义务，切实履行《采购合同》中的全部条款并按照《招标文件》的要求向贵司足额交纳招标代理服务费。</w:t>
      </w:r>
    </w:p>
    <w:p>
      <w:pPr>
        <w:pStyle w:val="12"/>
        <w:spacing w:line="360" w:lineRule="auto"/>
        <w:ind w:firstLine="420" w:firstLineChars="200"/>
        <w:rPr>
          <w:sz w:val="21"/>
          <w:szCs w:val="21"/>
        </w:rPr>
      </w:pPr>
      <w:r>
        <w:rPr>
          <w:sz w:val="21"/>
          <w:szCs w:val="21"/>
        </w:rPr>
        <w:t>7</w:t>
      </w:r>
      <w:r>
        <w:rPr>
          <w:spacing w:val="-5"/>
          <w:sz w:val="21"/>
          <w:szCs w:val="21"/>
        </w:rPr>
        <w:t>、 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w:t>
      </w:r>
      <w:r>
        <w:rPr>
          <w:spacing w:val="-4"/>
          <w:sz w:val="21"/>
          <w:szCs w:val="21"/>
        </w:rPr>
        <w:t>识产权的一切相关费用。</w:t>
      </w:r>
    </w:p>
    <w:p>
      <w:pPr>
        <w:spacing w:line="360" w:lineRule="auto"/>
        <w:ind w:firstLine="420" w:firstLineChars="200"/>
        <w:rPr>
          <w:sz w:val="21"/>
          <w:szCs w:val="21"/>
        </w:rPr>
      </w:pPr>
      <w:r>
        <w:rPr>
          <w:sz w:val="21"/>
          <w:szCs w:val="21"/>
        </w:rPr>
        <w:t>8、 与本投标有关的一切正式往来通讯请寄：</w:t>
      </w:r>
    </w:p>
    <w:p>
      <w:pPr>
        <w:spacing w:line="360" w:lineRule="auto"/>
        <w:ind w:firstLine="420" w:firstLineChars="200"/>
        <w:rPr>
          <w:sz w:val="21"/>
          <w:szCs w:val="21"/>
        </w:rPr>
      </w:pPr>
      <w:r>
        <w:rPr>
          <w:sz w:val="21"/>
          <w:szCs w:val="21"/>
        </w:rPr>
        <w:t>地址：</w:t>
      </w:r>
      <w:r>
        <w:rPr>
          <w:sz w:val="21"/>
          <w:szCs w:val="21"/>
        </w:rPr>
        <w:tab/>
      </w:r>
      <w:r>
        <w:rPr>
          <w:sz w:val="21"/>
          <w:szCs w:val="21"/>
        </w:rPr>
        <w:t>邮编：</w:t>
      </w:r>
    </w:p>
    <w:p>
      <w:pPr>
        <w:spacing w:line="360" w:lineRule="auto"/>
        <w:ind w:firstLine="420" w:firstLineChars="200"/>
        <w:rPr>
          <w:sz w:val="21"/>
          <w:szCs w:val="21"/>
        </w:rPr>
      </w:pPr>
      <w:r>
        <w:rPr>
          <w:sz w:val="21"/>
          <w:szCs w:val="21"/>
        </w:rPr>
        <w:t>电话：</w:t>
      </w:r>
      <w:r>
        <w:rPr>
          <w:sz w:val="21"/>
          <w:szCs w:val="21"/>
        </w:rPr>
        <w:tab/>
      </w:r>
      <w:r>
        <w:rPr>
          <w:sz w:val="21"/>
          <w:szCs w:val="21"/>
        </w:rPr>
        <w:t>传真：</w:t>
      </w:r>
    </w:p>
    <w:p>
      <w:pPr>
        <w:spacing w:line="360" w:lineRule="auto"/>
        <w:ind w:firstLine="420" w:firstLineChars="200"/>
        <w:rPr>
          <w:sz w:val="21"/>
          <w:szCs w:val="21"/>
        </w:rPr>
      </w:pPr>
      <w:r>
        <w:rPr>
          <w:sz w:val="21"/>
          <w:szCs w:val="21"/>
        </w:rPr>
        <w:t xml:space="preserve">投标人代表姓名、职务： </w:t>
      </w:r>
      <w:r>
        <w:rPr>
          <w:sz w:val="21"/>
          <w:szCs w:val="21"/>
        </w:rPr>
        <w:tab/>
      </w:r>
    </w:p>
    <w:p>
      <w:pPr>
        <w:spacing w:line="360" w:lineRule="auto"/>
        <w:ind w:firstLine="420" w:firstLineChars="200"/>
        <w:rPr>
          <w:sz w:val="21"/>
          <w:szCs w:val="21"/>
        </w:rPr>
      </w:pPr>
      <w:r>
        <w:rPr>
          <w:sz w:val="21"/>
          <w:szCs w:val="21"/>
        </w:rPr>
        <w:t>投标人名称：（并加盖公章）</w:t>
      </w:r>
    </w:p>
    <w:p>
      <w:pPr>
        <w:spacing w:line="360" w:lineRule="auto"/>
        <w:ind w:firstLine="420" w:firstLineChars="200"/>
        <w:rPr>
          <w:sz w:val="21"/>
          <w:szCs w:val="21"/>
        </w:rPr>
      </w:pPr>
      <w:r>
        <w:rPr>
          <w:sz w:val="21"/>
          <w:szCs w:val="21"/>
        </w:rPr>
        <w:t>投标人法定代表人或其委托人签字或</w:t>
      </w:r>
      <w:r>
        <w:rPr>
          <w:rFonts w:hint="eastAsia"/>
          <w:sz w:val="21"/>
          <w:szCs w:val="21"/>
        </w:rPr>
        <w:t>盖章</w:t>
      </w:r>
      <w:r>
        <w:rPr>
          <w:sz w:val="21"/>
          <w:szCs w:val="21"/>
        </w:rPr>
        <w:t xml:space="preserve">： </w:t>
      </w:r>
      <w:r>
        <w:rPr>
          <w:sz w:val="21"/>
          <w:szCs w:val="21"/>
        </w:rPr>
        <w:tab/>
      </w:r>
    </w:p>
    <w:p>
      <w:pPr>
        <w:spacing w:line="360" w:lineRule="auto"/>
        <w:ind w:firstLine="420" w:firstLineChars="200"/>
        <w:rPr>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pPr>
        <w:spacing w:line="360" w:lineRule="auto"/>
        <w:ind w:firstLine="420" w:firstLineChars="200"/>
        <w:rPr>
          <w:sz w:val="21"/>
          <w:szCs w:val="21"/>
        </w:rPr>
        <w:sectPr>
          <w:pgSz w:w="11910" w:h="16840"/>
          <w:pgMar w:top="1219" w:right="1219" w:bottom="1219" w:left="1219" w:header="879" w:footer="760" w:gutter="0"/>
          <w:cols w:space="720" w:num="1"/>
        </w:sectPr>
      </w:pPr>
      <w:r>
        <w:rPr>
          <w:sz w:val="21"/>
          <w:szCs w:val="21"/>
        </w:rPr>
        <w:t>注：法定代表人委托全权代表人，需附法定代表人签字或</w:t>
      </w:r>
      <w:r>
        <w:rPr>
          <w:rFonts w:hint="eastAsia"/>
          <w:sz w:val="21"/>
          <w:szCs w:val="21"/>
        </w:rPr>
        <w:t>盖章</w:t>
      </w:r>
      <w:r>
        <w:rPr>
          <w:sz w:val="21"/>
          <w:szCs w:val="21"/>
        </w:rPr>
        <w:t>的授权书</w:t>
      </w:r>
      <w:r>
        <w:rPr>
          <w:rFonts w:hint="eastAsia"/>
          <w:sz w:val="21"/>
          <w:szCs w:val="21"/>
        </w:rPr>
        <w:t>。</w:t>
      </w:r>
    </w:p>
    <w:p>
      <w:pPr>
        <w:pStyle w:val="5"/>
        <w:tabs>
          <w:tab w:val="left" w:pos="851"/>
        </w:tabs>
        <w:ind w:left="0" w:firstLine="120" w:firstLineChars="50"/>
      </w:pPr>
      <w:bookmarkStart w:id="125" w:name="_bookmark34"/>
      <w:bookmarkEnd w:id="125"/>
      <w:r>
        <w:t>3</w:t>
      </w:r>
      <w:r>
        <w:rPr>
          <w:rFonts w:hint="eastAsia"/>
        </w:rPr>
        <w:t>、</w:t>
      </w:r>
      <w:r>
        <w:t>法定代表人证明书/法定代表人授权书格式</w:t>
      </w:r>
    </w:p>
    <w:p>
      <w:pPr>
        <w:pStyle w:val="12"/>
        <w:spacing w:before="1"/>
        <w:rPr>
          <w:b/>
          <w:sz w:val="25"/>
        </w:rPr>
      </w:pPr>
    </w:p>
    <w:p>
      <w:pPr>
        <w:spacing w:line="434" w:lineRule="auto"/>
        <w:ind w:left="232" w:right="270" w:firstLine="422"/>
        <w:rPr>
          <w:b/>
        </w:rPr>
      </w:pPr>
      <w:r>
        <w:rPr>
          <w:b/>
          <w:spacing w:val="-7"/>
          <w:highlight w:val="yellow"/>
        </w:rPr>
        <w:t>法定代表人证明书和法定代表人授权书按以下格式填写，如由法定代表人投标并签署投标文件，需提</w:t>
      </w:r>
      <w:r>
        <w:rPr>
          <w:b/>
          <w:spacing w:val="-3"/>
          <w:highlight w:val="yellow"/>
        </w:rPr>
        <w:t>供法定代表人证明书，否则需提供法定代表人证明书和法定代表人授权书。</w:t>
      </w:r>
    </w:p>
    <w:p>
      <w:pPr>
        <w:pStyle w:val="12"/>
        <w:rPr>
          <w:b/>
          <w:sz w:val="20"/>
        </w:rPr>
      </w:pPr>
    </w:p>
    <w:p>
      <w:pPr>
        <w:pStyle w:val="12"/>
        <w:spacing w:before="6"/>
        <w:rPr>
          <w:b/>
          <w:sz w:val="18"/>
        </w:rPr>
      </w:pPr>
    </w:p>
    <w:p>
      <w:pPr>
        <w:ind w:left="786" w:right="405"/>
        <w:jc w:val="center"/>
        <w:rPr>
          <w:b/>
        </w:rPr>
      </w:pPr>
      <w:r>
        <w:rPr>
          <w:b/>
        </w:rPr>
        <w:t>法定代表人证明书</w:t>
      </w:r>
    </w:p>
    <w:p>
      <w:pPr>
        <w:pStyle w:val="12"/>
        <w:rPr>
          <w:b/>
          <w:sz w:val="20"/>
        </w:rPr>
      </w:pPr>
    </w:p>
    <w:p>
      <w:pPr>
        <w:pStyle w:val="12"/>
        <w:rPr>
          <w:b/>
          <w:sz w:val="20"/>
        </w:rPr>
      </w:pPr>
    </w:p>
    <w:p>
      <w:pPr>
        <w:pStyle w:val="12"/>
        <w:spacing w:before="3"/>
        <w:rPr>
          <w:b/>
          <w:sz w:val="15"/>
        </w:rPr>
      </w:pPr>
    </w:p>
    <w:p>
      <w:pPr>
        <w:pStyle w:val="12"/>
        <w:tabs>
          <w:tab w:val="left" w:pos="2016"/>
          <w:tab w:val="left" w:pos="4642"/>
        </w:tabs>
        <w:ind w:left="965"/>
      </w:pPr>
      <w:r>
        <w:rPr>
          <w:rFonts w:ascii="Times New Roman" w:eastAsia="Times New Roman"/>
          <w:u w:val="single"/>
        </w:rPr>
        <w:t xml:space="preserve"> </w:t>
      </w:r>
      <w:r>
        <w:rPr>
          <w:rFonts w:ascii="Times New Roman" w:eastAsia="Times New Roman"/>
          <w:u w:val="single"/>
        </w:rPr>
        <w:tab/>
      </w:r>
      <w:r>
        <w:t>同</w:t>
      </w:r>
      <w:r>
        <w:rPr>
          <w:spacing w:val="-3"/>
        </w:rPr>
        <w:t>志</w:t>
      </w:r>
      <w:r>
        <w:t>，</w:t>
      </w:r>
      <w:r>
        <w:rPr>
          <w:spacing w:val="-3"/>
        </w:rPr>
        <w:t>现</w:t>
      </w:r>
      <w:r>
        <w:t>任</w:t>
      </w:r>
      <w:r>
        <w:rPr>
          <w:spacing w:val="-3"/>
        </w:rPr>
        <w:t>我</w:t>
      </w:r>
      <w:r>
        <w:t>单位</w:t>
      </w:r>
      <w:r>
        <w:rPr>
          <w:u w:val="single"/>
        </w:rPr>
        <w:t xml:space="preserve"> </w:t>
      </w:r>
      <w:r>
        <w:rPr>
          <w:u w:val="single"/>
        </w:rPr>
        <w:tab/>
      </w:r>
      <w:r>
        <w:t>职</w:t>
      </w:r>
      <w:r>
        <w:rPr>
          <w:spacing w:val="-3"/>
        </w:rPr>
        <w:t>务</w:t>
      </w:r>
      <w:r>
        <w:t>，</w:t>
      </w:r>
      <w:r>
        <w:rPr>
          <w:spacing w:val="-3"/>
        </w:rPr>
        <w:t>为法</w:t>
      </w:r>
      <w:r>
        <w:t>定代</w:t>
      </w:r>
      <w:r>
        <w:rPr>
          <w:spacing w:val="-3"/>
        </w:rPr>
        <w:t>表</w:t>
      </w:r>
      <w:r>
        <w:t>人</w:t>
      </w:r>
      <w:r>
        <w:rPr>
          <w:spacing w:val="-3"/>
        </w:rPr>
        <w:t>，</w:t>
      </w:r>
      <w:r>
        <w:t>特</w:t>
      </w:r>
      <w:r>
        <w:rPr>
          <w:spacing w:val="-3"/>
        </w:rPr>
        <w:t>此</w:t>
      </w:r>
      <w:r>
        <w:t>证</w:t>
      </w:r>
      <w:r>
        <w:rPr>
          <w:spacing w:val="-3"/>
        </w:rPr>
        <w:t>明</w:t>
      </w:r>
      <w:r>
        <w:t>。</w:t>
      </w:r>
    </w:p>
    <w:p>
      <w:pPr>
        <w:pStyle w:val="12"/>
        <w:tabs>
          <w:tab w:val="left" w:pos="2016"/>
          <w:tab w:val="left" w:pos="4642"/>
        </w:tabs>
        <w:ind w:left="965"/>
      </w:pPr>
    </w:p>
    <w:p>
      <w:pPr>
        <w:pStyle w:val="12"/>
        <w:tabs>
          <w:tab w:val="left" w:pos="2016"/>
          <w:tab w:val="left" w:pos="4642"/>
        </w:tabs>
        <w:ind w:left="965"/>
      </w:pPr>
    </w:p>
    <w:p>
      <w:pPr>
        <w:pStyle w:val="12"/>
        <w:tabs>
          <w:tab w:val="left" w:pos="2016"/>
          <w:tab w:val="left" w:pos="4642"/>
        </w:tabs>
        <w:ind w:left="965"/>
      </w:pPr>
    </w:p>
    <w:p>
      <w:pPr>
        <w:pStyle w:val="12"/>
        <w:spacing w:before="1"/>
        <w:rPr>
          <w:sz w:val="11"/>
        </w:rPr>
      </w:pPr>
    </w:p>
    <w:p>
      <w:pPr>
        <w:pStyle w:val="12"/>
        <w:tabs>
          <w:tab w:val="left" w:pos="1464"/>
        </w:tabs>
        <w:spacing w:before="71" w:line="360" w:lineRule="auto"/>
        <w:ind w:left="412" w:right="73" w:rightChars="33"/>
        <w:jc w:val="right"/>
      </w:pPr>
      <w:r>
        <w:t>投 标 人 名 称（并加盖公章）：</w:t>
      </w:r>
    </w:p>
    <w:p>
      <w:pPr>
        <w:pStyle w:val="12"/>
        <w:tabs>
          <w:tab w:val="left" w:pos="1574"/>
          <w:tab w:val="left" w:pos="2100"/>
          <w:tab w:val="left" w:pos="2626"/>
        </w:tabs>
        <w:spacing w:before="79"/>
        <w:ind w:right="268"/>
        <w:jc w:val="right"/>
      </w:pPr>
    </w:p>
    <w:p>
      <w:pPr>
        <w:pStyle w:val="12"/>
        <w:tabs>
          <w:tab w:val="left" w:pos="1574"/>
          <w:tab w:val="left" w:pos="2100"/>
          <w:tab w:val="left" w:pos="2626"/>
        </w:tabs>
        <w:spacing w:before="79"/>
        <w:ind w:right="268"/>
        <w:jc w:val="right"/>
      </w:pPr>
      <w:r>
        <w:t>签</w:t>
      </w:r>
      <w:r>
        <w:rPr>
          <w:spacing w:val="-3"/>
        </w:rPr>
        <w:t>发</w:t>
      </w:r>
      <w:r>
        <w:t>日</w:t>
      </w:r>
      <w:r>
        <w:rPr>
          <w:spacing w:val="-3"/>
        </w:rPr>
        <w:t>期</w:t>
      </w:r>
      <w:r>
        <w:t>：</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2"/>
        <w:tabs>
          <w:tab w:val="left" w:pos="1574"/>
          <w:tab w:val="left" w:pos="2100"/>
          <w:tab w:val="left" w:pos="2626"/>
        </w:tabs>
        <w:spacing w:before="79"/>
        <w:ind w:right="268"/>
        <w:jc w:val="right"/>
      </w:pPr>
    </w:p>
    <w:p>
      <w:pPr>
        <w:pStyle w:val="12"/>
        <w:spacing w:before="72" w:line="360" w:lineRule="auto"/>
        <w:ind w:left="412"/>
        <w:rPr>
          <w:sz w:val="17"/>
        </w:rPr>
      </w:pPr>
      <w:r>
        <w:t>附：</w:t>
      </w:r>
    </w:p>
    <w:p>
      <w:pPr>
        <w:pStyle w:val="12"/>
      </w:pPr>
      <w:r>
        <w:t>营业执照/登记证书（注册号或登记号）：</w:t>
      </w:r>
    </w:p>
    <w:p>
      <w:pPr>
        <w:pStyle w:val="12"/>
      </w:pPr>
      <w:r>
        <w:t>经济性质：</w:t>
      </w:r>
    </w:p>
    <w:p>
      <w:pPr>
        <w:pStyle w:val="12"/>
      </w:pPr>
      <w:r>
        <w:t>主营（产）：</w:t>
      </w:r>
    </w:p>
    <w:p>
      <w:pPr>
        <w:pStyle w:val="12"/>
        <w:rPr>
          <w:sz w:val="19"/>
        </w:rPr>
      </w:pPr>
      <w:r>
        <w:t>兼营（产）：</w:t>
      </w:r>
    </w:p>
    <w:p>
      <w:pPr>
        <w:pStyle w:val="12"/>
        <w:spacing w:before="4"/>
        <w:rPr>
          <w:sz w:val="9"/>
        </w:rPr>
      </w:pPr>
      <w:r>
        <w:pict>
          <v:shape id="文本框 4" o:spid="_x0000_s1052" o:spt="202" type="#_x0000_t202" style="position:absolute;left:0pt;margin-left:93.3pt;margin-top:13.1pt;height:125.7pt;width:195.25pt;mso-position-horizontal-relative:page;mso-wrap-distance-bottom:0pt;mso-wrap-distance-top:0pt;z-index:-251637760;mso-width-relative:page;mso-height-relative:page;" filled="f" coordsize="21600,21600" o:gfxdata="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qPfvzZAAAACgEAAA8AAAAAAAAAAQAgAAAAIgAAAGRycy9kb3ducmV2&#10;LnhtbFBLAQIUABQAAAAIAIdO4kBntBln+wEAAOQDAAAOAAAAAAAAAAEAIAAAACgBAABkcnMvZTJv&#10;RG9jLnhtbFBLBQYAAAAABgAGAFkBAACVBQAAAAA=&#10;">
            <v:path/>
            <v:fill on="f" focussize="0,0"/>
            <v:stroke joinstyle="miter"/>
            <v:imagedata o:title=""/>
            <o:lock v:ext="edit"/>
            <v:textbox inset="0mm,0mm,0mm,0mm">
              <w:txbxContent>
                <w:p/>
                <w:p>
                  <w:r>
                    <w:t>法定代表人</w:t>
                  </w:r>
                </w:p>
                <w:p>
                  <w:r>
                    <w:t>居民身份证复印件（正面）粘贴处</w:t>
                  </w:r>
                </w:p>
              </w:txbxContent>
            </v:textbox>
            <w10:wrap type="topAndBottom"/>
          </v:shape>
        </w:pict>
      </w:r>
      <w:r>
        <w:rPr>
          <w:sz w:val="22"/>
          <w:szCs w:val="22"/>
        </w:rPr>
        <w:pict>
          <v:shape id="文本框 10" o:spid="_x0000_s1055" o:spt="202" type="#_x0000_t202" style="position:absolute;left:0pt;margin-left:316.75pt;margin-top:13.1pt;height:125.7pt;width:196.2pt;mso-position-horizontal-relative:page;mso-wrap-distance-bottom:0pt;mso-wrap-distance-top:0pt;z-index:-251629568;mso-width-relative:page;mso-height-relative:page;" filled="f" coordsize="21600,21600" o:gfxdata="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IR8k3QAAAAwBAAAPAAAAAAAAAAEAIAAAACIAAABkcnMvZG93&#10;bnJldi54bWxQSwECFAAUAAAACACHTuJAQkaaL/sBAADmAwAADgAAAAAAAAABACAAAAAsAQAAZHJz&#10;L2Uyb0RvYy54bWxQSwUGAAAAAAYABgBZAQAAmQUAAAAA&#10;">
            <v:path/>
            <v:fill on="f" focussize="0,0"/>
            <v:stroke joinstyle="miter"/>
            <v:imagedata o:title=""/>
            <o:lock v:ext="edit"/>
            <v:textbox inset="0mm,0mm,0mm,0mm">
              <w:txbxContent>
                <w:p>
                  <w:pPr>
                    <w:pStyle w:val="12"/>
                    <w:rPr>
                      <w:sz w:val="20"/>
                    </w:rPr>
                  </w:pPr>
                </w:p>
                <w:p>
                  <w:pPr>
                    <w:pStyle w:val="12"/>
                    <w:spacing w:before="173"/>
                    <w:ind w:left="361" w:right="356"/>
                    <w:jc w:val="center"/>
                  </w:pPr>
                  <w:r>
                    <w:t>法定代表人</w:t>
                  </w:r>
                </w:p>
                <w:p>
                  <w:r>
                    <w:t>居民身份证复印件（反面）粘贴处</w:t>
                  </w:r>
                </w:p>
              </w:txbxContent>
            </v:textbox>
            <w10:wrap type="topAndBottom"/>
          </v:shape>
        </w:pict>
      </w:r>
    </w:p>
    <w:p>
      <w:pPr>
        <w:rPr>
          <w:b/>
          <w:bCs/>
          <w:sz w:val="24"/>
          <w:szCs w:val="28"/>
        </w:rPr>
      </w:pPr>
      <w:r>
        <w:rPr>
          <w:b/>
          <w:bCs/>
          <w:sz w:val="24"/>
          <w:szCs w:val="28"/>
        </w:rPr>
        <w:br w:type="page"/>
      </w:r>
    </w:p>
    <w:p>
      <w:pPr>
        <w:jc w:val="center"/>
        <w:rPr>
          <w:b/>
          <w:bCs/>
          <w:sz w:val="24"/>
          <w:szCs w:val="28"/>
        </w:rPr>
      </w:pPr>
      <w:r>
        <w:rPr>
          <w:b/>
          <w:bCs/>
          <w:sz w:val="24"/>
          <w:szCs w:val="28"/>
        </w:rPr>
        <w:t>法定代表人授权书</w:t>
      </w:r>
    </w:p>
    <w:p>
      <w:pPr>
        <w:pStyle w:val="12"/>
        <w:rPr>
          <w:b/>
          <w:sz w:val="20"/>
        </w:rPr>
      </w:pPr>
    </w:p>
    <w:p>
      <w:pPr>
        <w:pStyle w:val="12"/>
        <w:spacing w:before="2"/>
        <w:rPr>
          <w:b/>
          <w:sz w:val="17"/>
        </w:rPr>
      </w:pPr>
    </w:p>
    <w:p>
      <w:pPr>
        <w:pStyle w:val="12"/>
        <w:spacing w:before="71" w:line="360" w:lineRule="auto"/>
        <w:ind w:left="412"/>
        <w:rPr>
          <w:b/>
          <w:bCs/>
          <w:sz w:val="17"/>
        </w:rPr>
      </w:pPr>
      <w:r>
        <w:rPr>
          <w:b/>
          <w:bCs/>
        </w:rPr>
        <w:t>致：</w:t>
      </w:r>
      <w:r>
        <w:rPr>
          <w:rFonts w:hint="eastAsia"/>
          <w:b/>
          <w:bCs/>
        </w:rPr>
        <w:t>中达安股份有限公司</w:t>
      </w:r>
    </w:p>
    <w:p>
      <w:pPr>
        <w:pStyle w:val="12"/>
        <w:tabs>
          <w:tab w:val="left" w:pos="3593"/>
          <w:tab w:val="left" w:pos="6114"/>
        </w:tabs>
        <w:snapToGrid w:val="0"/>
        <w:spacing w:line="360" w:lineRule="auto"/>
        <w:ind w:firstLine="480" w:firstLineChars="200"/>
        <w:rPr>
          <w:sz w:val="10"/>
        </w:rPr>
      </w:pPr>
      <w:r>
        <w:t>本授权书声明：注册于</w:t>
      </w:r>
      <w:r>
        <w:rPr>
          <w:u w:val="single"/>
        </w:rPr>
        <w:t xml:space="preserve"> </w:t>
      </w:r>
      <w:r>
        <w:rPr>
          <w:u w:val="single"/>
        </w:rPr>
        <w:tab/>
      </w:r>
      <w:r>
        <w:rPr>
          <w:u w:val="single"/>
        </w:rPr>
        <w:t>（国家或地区）</w:t>
      </w:r>
      <w:r>
        <w:t>的</w:t>
      </w:r>
      <w:r>
        <w:rPr>
          <w:u w:val="single"/>
        </w:rPr>
        <w:t xml:space="preserve"> </w:t>
      </w:r>
      <w:r>
        <w:rPr>
          <w:u w:val="single"/>
        </w:rPr>
        <w:tab/>
      </w:r>
      <w:r>
        <w:rPr>
          <w:u w:val="single"/>
        </w:rPr>
        <w:t>（投标人名称）</w:t>
      </w:r>
      <w:r>
        <w:t>在下面签字（或盖</w:t>
      </w:r>
      <w:r>
        <w:rPr>
          <w:rFonts w:hint="eastAsia"/>
        </w:rPr>
        <w:t>盖章</w:t>
      </w:r>
      <w:r>
        <w:t>）的</w:t>
      </w:r>
      <w:r>
        <w:rPr>
          <w:u w:val="single"/>
        </w:rPr>
        <w:t xml:space="preserve">  （法定代表人姓名、职务）</w:t>
      </w:r>
      <w:r>
        <w:t>代表本单位授权在下面签字（或盖</w:t>
      </w:r>
      <w:r>
        <w:rPr>
          <w:rFonts w:hint="eastAsia"/>
        </w:rPr>
        <w:t>盖章</w:t>
      </w:r>
      <w:r>
        <w:t>）的</w:t>
      </w:r>
      <w:r>
        <w:rPr>
          <w:u w:val="single"/>
        </w:rPr>
        <w:t xml:space="preserve"> </w:t>
      </w:r>
      <w:r>
        <w:rPr>
          <w:u w:val="single"/>
        </w:rPr>
        <w:tab/>
      </w:r>
      <w:r>
        <w:rPr>
          <w:u w:val="single"/>
        </w:rPr>
        <w:t>（被授权人的姓名、职务）</w:t>
      </w:r>
      <w:r>
        <w:t>为本单位的合法代表人，就</w:t>
      </w:r>
      <w:r>
        <w:rPr>
          <w:u w:val="single"/>
        </w:rPr>
        <w:t xml:space="preserve"> </w:t>
      </w:r>
      <w:r>
        <w:rPr>
          <w:rFonts w:hint="eastAsia"/>
          <w:u w:val="single"/>
        </w:rPr>
        <w:t>广州市杂技艺术剧院有限责任公司小剧场舞台机械改造</w:t>
      </w:r>
      <w:r>
        <w:t>（项目编号：</w:t>
      </w:r>
      <w:r>
        <w:rPr>
          <w:u w:val="single"/>
          <w:lang w:val="en-US"/>
        </w:rPr>
        <w:t xml:space="preserve">            </w:t>
      </w:r>
      <w:r>
        <w:t>）的投标活动，提交投标文件及采购合同的签订、执行，作为投标人代表</w:t>
      </w:r>
      <w:r>
        <w:rPr>
          <w:rFonts w:hint="eastAsia"/>
        </w:rPr>
        <w:t>。</w:t>
      </w:r>
      <w:r>
        <w:t>以我方的名义处理一切与之有关的事务。</w:t>
      </w:r>
    </w:p>
    <w:p>
      <w:pPr>
        <w:pStyle w:val="12"/>
        <w:tabs>
          <w:tab w:val="left" w:pos="2438"/>
          <w:tab w:val="left" w:pos="3067"/>
          <w:tab w:val="left" w:pos="3699"/>
        </w:tabs>
        <w:snapToGrid w:val="0"/>
        <w:spacing w:line="360" w:lineRule="auto"/>
        <w:ind w:firstLine="480" w:firstLineChars="200"/>
      </w:pPr>
      <w:r>
        <w:t>本授权书于</w:t>
      </w:r>
      <w:r>
        <w:rPr>
          <w:u w:val="single"/>
        </w:rPr>
        <w:t xml:space="preserve"> </w:t>
      </w:r>
      <w:r>
        <w:rPr>
          <w:u w:val="single"/>
        </w:rPr>
        <w:tab/>
      </w:r>
      <w:r>
        <w:rPr>
          <w:u w:val="single"/>
        </w:rPr>
        <w:t>年</w:t>
      </w:r>
      <w:r>
        <w:rPr>
          <w:u w:val="single"/>
        </w:rPr>
        <w:tab/>
      </w:r>
      <w:r>
        <w:rPr>
          <w:u w:val="single"/>
        </w:rPr>
        <w:t>月</w:t>
      </w:r>
      <w:r>
        <w:rPr>
          <w:u w:val="single"/>
        </w:rPr>
        <w:tab/>
      </w:r>
      <w:r>
        <w:rPr>
          <w:u w:val="single"/>
        </w:rPr>
        <w:t>日</w:t>
      </w:r>
      <w:r>
        <w:t>签字（或盖</w:t>
      </w:r>
      <w:r>
        <w:rPr>
          <w:rFonts w:hint="eastAsia"/>
        </w:rPr>
        <w:t>盖章</w:t>
      </w:r>
      <w:r>
        <w:t>）生效，特此声明。</w:t>
      </w:r>
    </w:p>
    <w:p>
      <w:pPr>
        <w:pStyle w:val="12"/>
        <w:tabs>
          <w:tab w:val="left" w:pos="2438"/>
          <w:tab w:val="left" w:pos="3067"/>
          <w:tab w:val="left" w:pos="3699"/>
        </w:tabs>
        <w:spacing w:line="360" w:lineRule="auto"/>
        <w:ind w:firstLine="480" w:firstLineChars="200"/>
      </w:pPr>
    </w:p>
    <w:p>
      <w:pPr>
        <w:pStyle w:val="12"/>
        <w:tabs>
          <w:tab w:val="left" w:pos="2438"/>
          <w:tab w:val="left" w:pos="3067"/>
          <w:tab w:val="left" w:pos="3699"/>
        </w:tabs>
        <w:spacing w:line="360" w:lineRule="auto"/>
        <w:ind w:firstLine="480" w:firstLineChars="200"/>
      </w:pPr>
    </w:p>
    <w:p>
      <w:pPr>
        <w:pStyle w:val="12"/>
        <w:tabs>
          <w:tab w:val="left" w:pos="2438"/>
          <w:tab w:val="left" w:pos="3067"/>
          <w:tab w:val="left" w:pos="3699"/>
        </w:tabs>
        <w:spacing w:line="360" w:lineRule="auto"/>
        <w:ind w:firstLine="480" w:firstLineChars="200"/>
        <w:jc w:val="right"/>
      </w:pPr>
      <w:r>
        <w:t>投 标 人 名 称：</w:t>
      </w:r>
      <w:r>
        <w:rPr>
          <w:rFonts w:hint="eastAsia"/>
          <w:u w:val="single"/>
        </w:rPr>
        <w:t xml:space="preserve"> </w:t>
      </w:r>
      <w:r>
        <w:rPr>
          <w:u w:val="single"/>
        </w:rPr>
        <w:t xml:space="preserve">      </w:t>
      </w:r>
      <w:r>
        <w:t>（并加盖公章）</w:t>
      </w:r>
    </w:p>
    <w:p>
      <w:pPr>
        <w:pStyle w:val="12"/>
        <w:tabs>
          <w:tab w:val="left" w:pos="2438"/>
          <w:tab w:val="left" w:pos="3067"/>
          <w:tab w:val="left" w:pos="3699"/>
        </w:tabs>
        <w:spacing w:line="360" w:lineRule="auto"/>
        <w:ind w:firstLine="5040" w:firstLineChars="2100"/>
        <w:rPr>
          <w:u w:val="single"/>
        </w:rPr>
      </w:pPr>
      <w:r>
        <w:t>地址：</w:t>
      </w:r>
      <w:r>
        <w:rPr>
          <w:rFonts w:hint="eastAsia"/>
          <w:u w:val="single"/>
        </w:rPr>
        <w:t xml:space="preserve"> </w:t>
      </w:r>
      <w:r>
        <w:rPr>
          <w:u w:val="single"/>
        </w:rPr>
        <w:t xml:space="preserve">                     </w:t>
      </w:r>
    </w:p>
    <w:p>
      <w:pPr>
        <w:pStyle w:val="12"/>
        <w:tabs>
          <w:tab w:val="left" w:pos="2438"/>
          <w:tab w:val="left" w:pos="3067"/>
          <w:tab w:val="left" w:pos="3699"/>
        </w:tabs>
        <w:spacing w:line="360" w:lineRule="auto"/>
        <w:ind w:firstLine="5040" w:firstLineChars="2100"/>
      </w:pPr>
      <w:r>
        <w:t xml:space="preserve">法定代表人： </w:t>
      </w:r>
      <w:r>
        <w:rPr>
          <w:u w:val="single"/>
        </w:rPr>
        <w:t xml:space="preserve">     </w:t>
      </w:r>
      <w:r>
        <w:t>（签字或</w:t>
      </w:r>
      <w:r>
        <w:rPr>
          <w:rFonts w:hint="eastAsia"/>
        </w:rPr>
        <w:t>盖章</w:t>
      </w:r>
      <w:r>
        <w:t>）</w:t>
      </w:r>
    </w:p>
    <w:p>
      <w:pPr>
        <w:pStyle w:val="12"/>
        <w:tabs>
          <w:tab w:val="left" w:pos="2438"/>
          <w:tab w:val="left" w:pos="3067"/>
          <w:tab w:val="left" w:pos="3699"/>
        </w:tabs>
        <w:spacing w:line="360" w:lineRule="auto"/>
        <w:ind w:firstLine="5040" w:firstLineChars="2100"/>
        <w:rPr>
          <w:u w:val="single"/>
        </w:rPr>
      </w:pPr>
      <w:r>
        <w:t>职务：</w:t>
      </w:r>
      <w:r>
        <w:rPr>
          <w:rFonts w:hint="eastAsia"/>
          <w:u w:val="single"/>
        </w:rPr>
        <w:t xml:space="preserve"> </w:t>
      </w:r>
      <w:r>
        <w:rPr>
          <w:u w:val="single"/>
        </w:rPr>
        <w:t xml:space="preserve">                  </w:t>
      </w:r>
    </w:p>
    <w:p>
      <w:pPr>
        <w:pStyle w:val="12"/>
        <w:tabs>
          <w:tab w:val="left" w:pos="2438"/>
          <w:tab w:val="left" w:pos="3067"/>
          <w:tab w:val="left" w:pos="3699"/>
        </w:tabs>
        <w:spacing w:line="360" w:lineRule="auto"/>
        <w:ind w:firstLine="5040" w:firstLineChars="2100"/>
      </w:pPr>
      <w:r>
        <w:t xml:space="preserve">被授权人： </w:t>
      </w:r>
      <w:r>
        <w:rPr>
          <w:u w:val="single"/>
        </w:rPr>
        <w:t xml:space="preserve">          </w:t>
      </w:r>
      <w:r>
        <w:t>（签字或</w:t>
      </w:r>
      <w:r>
        <w:rPr>
          <w:rFonts w:hint="eastAsia"/>
        </w:rPr>
        <w:t>盖章</w:t>
      </w:r>
      <w:r>
        <w:t>）</w:t>
      </w:r>
    </w:p>
    <w:p>
      <w:pPr>
        <w:pStyle w:val="12"/>
        <w:tabs>
          <w:tab w:val="left" w:pos="2438"/>
          <w:tab w:val="left" w:pos="3067"/>
          <w:tab w:val="left" w:pos="3699"/>
        </w:tabs>
        <w:spacing w:line="360" w:lineRule="auto"/>
        <w:ind w:firstLine="5040" w:firstLineChars="2100"/>
      </w:pPr>
      <w:r>
        <w:t>职务：</w:t>
      </w:r>
      <w:r>
        <w:rPr>
          <w:rFonts w:hint="eastAsia"/>
          <w:u w:val="single"/>
        </w:rPr>
        <w:t xml:space="preserve"> </w:t>
      </w:r>
      <w:r>
        <w:rPr>
          <w:u w:val="single"/>
        </w:rPr>
        <w:t xml:space="preserve">            </w:t>
      </w:r>
    </w:p>
    <w:p>
      <w:pPr>
        <w:pStyle w:val="12"/>
        <w:rPr>
          <w:sz w:val="20"/>
        </w:rPr>
      </w:pPr>
    </w:p>
    <w:p>
      <w:pPr>
        <w:rPr>
          <w:sz w:val="23"/>
        </w:rPr>
      </w:pPr>
    </w:p>
    <w:p>
      <w:bookmarkStart w:id="126" w:name="_bookmark35"/>
      <w:bookmarkEnd w:id="126"/>
      <w:r>
        <w:pict>
          <v:shape id="文本框 8" o:spid="_x0000_s1053" o:spt="202" type="#_x0000_t202" style="position:absolute;left:0pt;margin-left:304.2pt;margin-top:3.8pt;height:125.7pt;width:196.2pt;mso-position-horizontal-relative:page;mso-wrap-distance-bottom:0pt;mso-wrap-distance-top:0pt;z-index:-251578368;mso-width-relative:page;mso-height-relative:page;" filled="f" coordsize="21600,21600" o:gfxdata="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4m1g2gAAAAsBAAAPAAAAAAAAAAEAIAAAACIAAABkcnMvZG93bnJl&#10;di54bWxQSwECFAAUAAAACACHTuJA2RlurvsBAADkAwAADgAAAAAAAAABACAAAAApAQAAZHJzL2Uy&#10;b0RvYy54bWxQSwUGAAAAAAYABgBZAQAAlgUAAAAA&#10;">
            <v:path/>
            <v:fill on="f" focussize="0,0"/>
            <v:stroke joinstyle="miter"/>
            <v:imagedata o:title=""/>
            <o:lock v:ext="edit"/>
            <v:textbox inset="0mm,0mm,0mm,0mm">
              <w:txbxContent>
                <w:p>
                  <w:pPr>
                    <w:pStyle w:val="12"/>
                    <w:rPr>
                      <w:sz w:val="20"/>
                    </w:rPr>
                  </w:pPr>
                </w:p>
                <w:p>
                  <w:pPr>
                    <w:jc w:val="center"/>
                    <w:rPr>
                      <w:lang w:val="en-US"/>
                    </w:rPr>
                  </w:pPr>
                  <w:r>
                    <w:rPr>
                      <w:rFonts w:hint="eastAsia"/>
                      <w:lang w:val="en-US"/>
                    </w:rPr>
                    <w:t>授权代表</w:t>
                  </w:r>
                </w:p>
                <w:p>
                  <w:pPr>
                    <w:jc w:val="center"/>
                  </w:pPr>
                  <w:r>
                    <w:t>居民身份证复印件（反面）粘贴处</w:t>
                  </w:r>
                </w:p>
              </w:txbxContent>
            </v:textbox>
            <w10:wrap type="topAndBottom"/>
          </v:shape>
        </w:pict>
      </w:r>
      <w:r>
        <w:pict>
          <v:shape id="文本框 7" o:spid="_x0000_s1054" o:spt="202" type="#_x0000_t202" style="position:absolute;left:0pt;margin-left:70.4pt;margin-top:3.8pt;height:125.7pt;width:195.25pt;mso-position-horizontal-relative:page;mso-wrap-distance-bottom:0pt;mso-wrap-distance-top:0pt;z-index:-251608064;mso-width-relative:page;mso-height-relative:page;" filled="f" coordsize="21600,21600" o:gfxdata="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vGL2gAAAAsBAAAPAAAAAAAAAAEAIAAAACIAAABkcnMvZG93bnJl&#10;di54bWxQSwECFAAUAAAACACHTuJAT+I6JfsBAADkAwAADgAAAAAAAAABACAAAAApAQAAZHJzL2Uy&#10;b0RvYy54bWxQSwUGAAAAAAYABgBZAQAAlgUAAAAA&#10;">
            <v:path/>
            <v:fill on="f" focussize="0,0"/>
            <v:stroke joinstyle="miter"/>
            <v:imagedata o:title=""/>
            <o:lock v:ext="edit"/>
            <v:textbox inset="0mm,0mm,0mm,0mm">
              <w:txbxContent>
                <w:p/>
                <w:p>
                  <w:pPr>
                    <w:jc w:val="center"/>
                    <w:rPr>
                      <w:lang w:val="en-US"/>
                    </w:rPr>
                  </w:pPr>
                  <w:r>
                    <w:rPr>
                      <w:rFonts w:hint="eastAsia"/>
                      <w:lang w:val="en-US"/>
                    </w:rPr>
                    <w:t>授权代表</w:t>
                  </w:r>
                </w:p>
                <w:p>
                  <w:pPr>
                    <w:jc w:val="center"/>
                  </w:pPr>
                  <w:r>
                    <w:t>居民身份证复印件（正面）粘贴处</w:t>
                  </w:r>
                </w:p>
              </w:txbxContent>
            </v:textbox>
            <w10:wrap type="topAndBottom"/>
          </v:shape>
        </w:pict>
      </w:r>
      <w:r>
        <w:rPr>
          <w:rFonts w:hint="eastAsia"/>
        </w:rPr>
        <w:br w:type="page"/>
      </w:r>
      <w:bookmarkStart w:id="127" w:name="_bookmark36"/>
      <w:bookmarkEnd w:id="127"/>
    </w:p>
    <w:p>
      <w:pPr>
        <w:pStyle w:val="5"/>
        <w:ind w:left="0"/>
        <w:jc w:val="center"/>
      </w:pPr>
      <w:r>
        <w:t>4</w:t>
      </w:r>
      <w:r>
        <w:rPr>
          <w:rFonts w:hint="eastAsia"/>
        </w:rPr>
        <w:t>、</w:t>
      </w:r>
      <w:r>
        <w:t>拟任管理及技术人员情况</w:t>
      </w:r>
    </w:p>
    <w:p>
      <w:pPr>
        <w:pStyle w:val="12"/>
        <w:spacing w:before="12"/>
        <w:rPr>
          <w:b/>
          <w:sz w:val="14"/>
        </w:rPr>
      </w:pPr>
    </w:p>
    <w:tbl>
      <w:tblPr>
        <w:tblStyle w:val="19"/>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095"/>
        <w:gridCol w:w="1075"/>
        <w:gridCol w:w="2376"/>
        <w:gridCol w:w="930"/>
        <w:gridCol w:w="735"/>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826" w:type="dxa"/>
            <w:shd w:val="clear" w:color="auto" w:fill="D6D6D6"/>
          </w:tcPr>
          <w:p>
            <w:pPr>
              <w:pStyle w:val="23"/>
              <w:spacing w:before="108" w:line="242" w:lineRule="auto"/>
              <w:ind w:left="172" w:right="161"/>
              <w:rPr>
                <w:b/>
                <w:sz w:val="24"/>
              </w:rPr>
            </w:pPr>
            <w:r>
              <w:rPr>
                <w:b/>
                <w:sz w:val="24"/>
              </w:rPr>
              <w:t>职责分工</w:t>
            </w:r>
          </w:p>
        </w:tc>
        <w:tc>
          <w:tcPr>
            <w:tcW w:w="1095" w:type="dxa"/>
            <w:shd w:val="clear" w:color="auto" w:fill="D6D6D6"/>
          </w:tcPr>
          <w:p>
            <w:pPr>
              <w:pStyle w:val="23"/>
              <w:spacing w:before="7"/>
              <w:rPr>
                <w:b/>
                <w:sz w:val="20"/>
              </w:rPr>
            </w:pPr>
          </w:p>
          <w:p>
            <w:pPr>
              <w:pStyle w:val="23"/>
              <w:spacing w:before="1"/>
              <w:ind w:left="306"/>
              <w:rPr>
                <w:b/>
                <w:sz w:val="24"/>
              </w:rPr>
            </w:pPr>
            <w:r>
              <w:rPr>
                <w:b/>
                <w:sz w:val="24"/>
              </w:rPr>
              <w:t>姓名</w:t>
            </w:r>
          </w:p>
        </w:tc>
        <w:tc>
          <w:tcPr>
            <w:tcW w:w="1075" w:type="dxa"/>
            <w:shd w:val="clear" w:color="auto" w:fill="D6D6D6"/>
          </w:tcPr>
          <w:p>
            <w:pPr>
              <w:pStyle w:val="23"/>
              <w:spacing w:before="7"/>
              <w:rPr>
                <w:b/>
                <w:sz w:val="20"/>
              </w:rPr>
            </w:pPr>
          </w:p>
          <w:p>
            <w:pPr>
              <w:pStyle w:val="23"/>
              <w:spacing w:before="1"/>
              <w:ind w:left="176"/>
              <w:rPr>
                <w:b/>
                <w:sz w:val="24"/>
              </w:rPr>
            </w:pPr>
            <w:r>
              <w:rPr>
                <w:b/>
                <w:sz w:val="24"/>
              </w:rPr>
              <w:t>现职务</w:t>
            </w:r>
          </w:p>
        </w:tc>
        <w:tc>
          <w:tcPr>
            <w:tcW w:w="2376" w:type="dxa"/>
            <w:shd w:val="clear" w:color="auto" w:fill="D6D6D6"/>
          </w:tcPr>
          <w:p>
            <w:pPr>
              <w:pStyle w:val="23"/>
              <w:spacing w:before="108" w:line="242" w:lineRule="auto"/>
              <w:ind w:left="706" w:right="147" w:hanging="540"/>
              <w:rPr>
                <w:b/>
                <w:sz w:val="24"/>
              </w:rPr>
            </w:pPr>
            <w:r>
              <w:rPr>
                <w:b/>
                <w:sz w:val="24"/>
              </w:rPr>
              <w:t>曾主持/参与的同类项目经历</w:t>
            </w:r>
          </w:p>
        </w:tc>
        <w:tc>
          <w:tcPr>
            <w:tcW w:w="930" w:type="dxa"/>
            <w:shd w:val="clear" w:color="auto" w:fill="D6D6D6"/>
          </w:tcPr>
          <w:p>
            <w:pPr>
              <w:pStyle w:val="23"/>
              <w:spacing w:before="7"/>
              <w:rPr>
                <w:b/>
                <w:sz w:val="20"/>
              </w:rPr>
            </w:pPr>
          </w:p>
          <w:p>
            <w:pPr>
              <w:pStyle w:val="23"/>
              <w:spacing w:before="1"/>
              <w:ind w:left="224"/>
              <w:rPr>
                <w:b/>
                <w:sz w:val="24"/>
              </w:rPr>
            </w:pPr>
            <w:r>
              <w:rPr>
                <w:b/>
                <w:sz w:val="24"/>
              </w:rPr>
              <w:t>职称</w:t>
            </w:r>
          </w:p>
        </w:tc>
        <w:tc>
          <w:tcPr>
            <w:tcW w:w="735" w:type="dxa"/>
            <w:shd w:val="clear" w:color="auto" w:fill="D6D6D6"/>
          </w:tcPr>
          <w:p>
            <w:pPr>
              <w:pStyle w:val="23"/>
              <w:spacing w:before="108" w:line="242" w:lineRule="auto"/>
              <w:ind w:left="127" w:right="110" w:firstLine="4"/>
              <w:rPr>
                <w:b/>
                <w:sz w:val="24"/>
              </w:rPr>
            </w:pPr>
            <w:r>
              <w:rPr>
                <w:b/>
                <w:sz w:val="24"/>
              </w:rPr>
              <w:t>专业工龄</w:t>
            </w:r>
          </w:p>
        </w:tc>
        <w:tc>
          <w:tcPr>
            <w:tcW w:w="1965" w:type="dxa"/>
            <w:shd w:val="clear" w:color="auto" w:fill="D6D6D6"/>
          </w:tcPr>
          <w:p>
            <w:pPr>
              <w:pStyle w:val="23"/>
              <w:spacing w:before="7"/>
              <w:rPr>
                <w:b/>
                <w:sz w:val="20"/>
              </w:rPr>
            </w:pPr>
          </w:p>
          <w:p>
            <w:pPr>
              <w:pStyle w:val="23"/>
              <w:spacing w:before="1"/>
              <w:ind w:left="208"/>
              <w:rPr>
                <w:b/>
                <w:sz w:val="24"/>
              </w:rPr>
            </w:pPr>
            <w:r>
              <w:rPr>
                <w:b/>
                <w:sz w:val="24"/>
              </w:rPr>
              <w:t>联系电话/手机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26" w:type="dxa"/>
          </w:tcPr>
          <w:p>
            <w:pPr>
              <w:pStyle w:val="23"/>
              <w:spacing w:before="189" w:line="242" w:lineRule="auto"/>
              <w:ind w:left="172" w:right="161"/>
              <w:rPr>
                <w:sz w:val="24"/>
              </w:rPr>
            </w:pPr>
            <w:r>
              <w:rPr>
                <w:sz w:val="24"/>
              </w:rPr>
              <w:t>总负责人</w:t>
            </w: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6" w:type="dxa"/>
            <w:vMerge w:val="restart"/>
          </w:tcPr>
          <w:p>
            <w:pPr>
              <w:pStyle w:val="23"/>
              <w:rPr>
                <w:b/>
                <w:sz w:val="24"/>
              </w:rPr>
            </w:pPr>
          </w:p>
          <w:p>
            <w:pPr>
              <w:pStyle w:val="23"/>
              <w:rPr>
                <w:b/>
                <w:sz w:val="24"/>
              </w:rPr>
            </w:pPr>
          </w:p>
          <w:p>
            <w:pPr>
              <w:pStyle w:val="23"/>
              <w:spacing w:before="175" w:line="242" w:lineRule="auto"/>
              <w:ind w:left="172" w:right="161"/>
              <w:jc w:val="both"/>
              <w:rPr>
                <w:sz w:val="24"/>
              </w:rPr>
            </w:pPr>
            <w:r>
              <w:rPr>
                <w:sz w:val="24"/>
              </w:rPr>
              <w:t>其他主要技术人员</w:t>
            </w: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6" w:type="dxa"/>
            <w:vMerge w:val="continue"/>
            <w:tcBorders>
              <w:top w:val="nil"/>
            </w:tcBorders>
          </w:tcPr>
          <w:p>
            <w:pPr>
              <w:rPr>
                <w:sz w:val="2"/>
                <w:szCs w:val="2"/>
              </w:rPr>
            </w:pP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6" w:type="dxa"/>
            <w:vMerge w:val="continue"/>
            <w:tcBorders>
              <w:top w:val="nil"/>
            </w:tcBorders>
          </w:tcPr>
          <w:p>
            <w:pPr>
              <w:rPr>
                <w:sz w:val="2"/>
                <w:szCs w:val="2"/>
              </w:rPr>
            </w:pP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6" w:type="dxa"/>
            <w:vMerge w:val="continue"/>
            <w:tcBorders>
              <w:top w:val="nil"/>
            </w:tcBorders>
          </w:tcPr>
          <w:p>
            <w:pPr>
              <w:rPr>
                <w:sz w:val="2"/>
                <w:szCs w:val="2"/>
              </w:rPr>
            </w:pP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6" w:type="dxa"/>
            <w:vMerge w:val="continue"/>
            <w:tcBorders>
              <w:top w:val="nil"/>
            </w:tcBorders>
          </w:tcPr>
          <w:p>
            <w:pPr>
              <w:rPr>
                <w:sz w:val="2"/>
                <w:szCs w:val="2"/>
              </w:rPr>
            </w:pPr>
          </w:p>
        </w:tc>
        <w:tc>
          <w:tcPr>
            <w:tcW w:w="1095" w:type="dxa"/>
          </w:tcPr>
          <w:p>
            <w:pPr>
              <w:pStyle w:val="23"/>
              <w:rPr>
                <w:rFonts w:ascii="Times New Roman"/>
              </w:rPr>
            </w:pPr>
          </w:p>
        </w:tc>
        <w:tc>
          <w:tcPr>
            <w:tcW w:w="1075" w:type="dxa"/>
          </w:tcPr>
          <w:p>
            <w:pPr>
              <w:pStyle w:val="23"/>
              <w:rPr>
                <w:rFonts w:ascii="Times New Roman"/>
              </w:rPr>
            </w:pPr>
          </w:p>
        </w:tc>
        <w:tc>
          <w:tcPr>
            <w:tcW w:w="2376" w:type="dxa"/>
          </w:tcPr>
          <w:p>
            <w:pPr>
              <w:pStyle w:val="23"/>
              <w:rPr>
                <w:rFonts w:ascii="Times New Roman"/>
              </w:rPr>
            </w:pPr>
          </w:p>
        </w:tc>
        <w:tc>
          <w:tcPr>
            <w:tcW w:w="930" w:type="dxa"/>
          </w:tcPr>
          <w:p>
            <w:pPr>
              <w:pStyle w:val="23"/>
              <w:rPr>
                <w:rFonts w:ascii="Times New Roman"/>
              </w:rPr>
            </w:pPr>
          </w:p>
        </w:tc>
        <w:tc>
          <w:tcPr>
            <w:tcW w:w="735" w:type="dxa"/>
          </w:tcPr>
          <w:p>
            <w:pPr>
              <w:pStyle w:val="23"/>
              <w:rPr>
                <w:rFonts w:ascii="Times New Roman"/>
              </w:rPr>
            </w:pPr>
          </w:p>
        </w:tc>
        <w:tc>
          <w:tcPr>
            <w:tcW w:w="1965" w:type="dxa"/>
          </w:tcPr>
          <w:p>
            <w:pPr>
              <w:pStyle w:val="23"/>
              <w:rPr>
                <w:rFonts w:ascii="Times New Roman"/>
              </w:rPr>
            </w:pPr>
          </w:p>
        </w:tc>
      </w:tr>
    </w:tbl>
    <w:p>
      <w:pPr>
        <w:pStyle w:val="12"/>
        <w:spacing w:before="81"/>
        <w:ind w:left="760"/>
        <w:rPr>
          <w:lang w:val="en-US"/>
        </w:rPr>
      </w:pPr>
      <w:r>
        <w:t>注：</w:t>
      </w:r>
      <w:r>
        <w:rPr>
          <w:rFonts w:hint="eastAsia"/>
          <w:lang w:val="en-US"/>
        </w:rPr>
        <w:t>1、</w:t>
      </w:r>
      <w:r>
        <w:t>必须提供上述人员</w:t>
      </w:r>
      <w:r>
        <w:rPr>
          <w:rFonts w:hint="eastAsia"/>
          <w:lang w:val="en-US"/>
        </w:rPr>
        <w:t>身份证、学历证、项目经理证书等。</w:t>
      </w:r>
    </w:p>
    <w:p>
      <w:pPr>
        <w:pStyle w:val="12"/>
        <w:spacing w:before="81"/>
        <w:ind w:left="760"/>
      </w:pPr>
      <w:r>
        <w:rPr>
          <w:rFonts w:hint="eastAsia"/>
          <w:lang w:val="en-US"/>
        </w:rPr>
        <w:t>2、需提供近三个月连续在本单位缴纳社保证明文件。</w:t>
      </w:r>
    </w:p>
    <w:p>
      <w:pPr>
        <w:pStyle w:val="12"/>
      </w:pPr>
    </w:p>
    <w:p>
      <w:pPr>
        <w:pStyle w:val="12"/>
      </w:pPr>
    </w:p>
    <w:p>
      <w:pPr>
        <w:pStyle w:val="12"/>
      </w:pPr>
    </w:p>
    <w:p>
      <w:pPr>
        <w:pStyle w:val="12"/>
      </w:pPr>
    </w:p>
    <w:p>
      <w:pPr>
        <w:pStyle w:val="12"/>
        <w:spacing w:before="172" w:line="360" w:lineRule="auto"/>
        <w:ind w:left="4338"/>
        <w:rPr>
          <w:sz w:val="30"/>
        </w:rPr>
      </w:pPr>
      <w:r>
        <w:t>投标人名称：</w:t>
      </w:r>
      <w:r>
        <w:rPr>
          <w:rFonts w:hint="eastAsia"/>
          <w:u w:val="single"/>
        </w:rPr>
        <w:t xml:space="preserve"> </w:t>
      </w:r>
      <w:r>
        <w:rPr>
          <w:u w:val="single"/>
        </w:rPr>
        <w:t xml:space="preserve">                </w:t>
      </w:r>
      <w:r>
        <w:t>（加盖公章）</w:t>
      </w:r>
    </w:p>
    <w:p>
      <w:pPr>
        <w:spacing w:line="360" w:lineRule="auto"/>
        <w:jc w:val="center"/>
        <w:rPr>
          <w:sz w:val="24"/>
          <w:szCs w:val="24"/>
        </w:rPr>
      </w:pPr>
      <w:r>
        <w:rPr>
          <w:rFonts w:hint="eastAsia"/>
          <w:sz w:val="24"/>
          <w:szCs w:val="24"/>
          <w:lang w:val="en-US"/>
        </w:rPr>
        <w:t xml:space="preserve">                          </w:t>
      </w:r>
      <w:r>
        <w:rPr>
          <w:sz w:val="24"/>
          <w:szCs w:val="24"/>
        </w:rPr>
        <w:t xml:space="preserve">投标人法定代表人或其授权代表： </w:t>
      </w:r>
      <w:r>
        <w:rPr>
          <w:sz w:val="24"/>
          <w:szCs w:val="24"/>
          <w:u w:val="single"/>
        </w:rPr>
        <w:t xml:space="preserve">        </w:t>
      </w:r>
      <w:r>
        <w:rPr>
          <w:sz w:val="24"/>
          <w:szCs w:val="24"/>
        </w:rPr>
        <w:t>（签字）</w:t>
      </w:r>
    </w:p>
    <w:p>
      <w:pPr>
        <w:spacing w:line="360" w:lineRule="auto"/>
        <w:jc w:val="center"/>
      </w:pPr>
      <w:r>
        <w:rPr>
          <w:rFonts w:hint="eastAsia"/>
          <w:sz w:val="24"/>
          <w:szCs w:val="24"/>
          <w:lang w:val="en-US"/>
        </w:rPr>
        <w:t xml:space="preserve">         </w:t>
      </w:r>
      <w:r>
        <w:rPr>
          <w:sz w:val="24"/>
          <w:szCs w:val="24"/>
          <w:lang w:val="en-US"/>
        </w:rPr>
        <w:t xml:space="preserve">     </w:t>
      </w:r>
      <w:r>
        <w:rPr>
          <w:rFonts w:hint="eastAsia"/>
          <w:sz w:val="24"/>
          <w:szCs w:val="24"/>
          <w:lang w:val="en-US"/>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r>
        <w:rPr>
          <w:rFonts w:hint="eastAsia"/>
        </w:rPr>
        <w:br w:type="page"/>
      </w:r>
    </w:p>
    <w:p>
      <w:pPr>
        <w:pStyle w:val="5"/>
        <w:tabs>
          <w:tab w:val="left" w:pos="851"/>
        </w:tabs>
        <w:ind w:left="0"/>
        <w:jc w:val="center"/>
      </w:pPr>
      <w:r>
        <w:rPr>
          <w:rFonts w:hint="eastAsia"/>
          <w:lang w:val="en-US"/>
        </w:rPr>
        <w:t>5</w:t>
      </w:r>
      <w:r>
        <w:rPr>
          <w:rFonts w:hint="eastAsia"/>
        </w:rPr>
        <w:t>、合同响应一览表</w:t>
      </w:r>
    </w:p>
    <w:p>
      <w:pPr>
        <w:adjustRightInd w:val="0"/>
        <w:spacing w:line="360" w:lineRule="auto"/>
        <w:rPr>
          <w:bCs/>
          <w:snapToGrid w:val="0"/>
          <w:szCs w:val="21"/>
        </w:rPr>
      </w:pPr>
      <w:r>
        <w:rPr>
          <w:rFonts w:hint="eastAsia"/>
          <w:bCs/>
          <w:snapToGrid w:val="0"/>
          <w:szCs w:val="21"/>
        </w:rPr>
        <w:t>项目名称：</w:t>
      </w:r>
      <w:r>
        <w:rPr>
          <w:rFonts w:hint="eastAsia"/>
        </w:rPr>
        <w:t>广州市杂技艺术剧院有限责任公司小剧场舞台机械改造</w:t>
      </w:r>
    </w:p>
    <w:p>
      <w:pPr>
        <w:pStyle w:val="2"/>
        <w:ind w:firstLine="0" w:firstLineChars="0"/>
        <w:rPr>
          <w:rFonts w:ascii="Calibri" w:hAnsi="Calibri" w:cs="Times New Roman"/>
          <w:kern w:val="2"/>
          <w:sz w:val="21"/>
          <w:lang w:val="en-US" w:bidi="ar-SA"/>
        </w:rPr>
      </w:pPr>
      <w:r>
        <w:rPr>
          <w:rFonts w:hint="eastAsia" w:ascii="Calibri" w:hAnsi="Calibri" w:cs="Times New Roman"/>
          <w:kern w:val="2"/>
          <w:sz w:val="21"/>
          <w:lang w:val="en-US" w:bidi="ar-SA"/>
        </w:rPr>
        <w:t>项目编号：</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082"/>
        <w:gridCol w:w="1554"/>
        <w:gridCol w:w="1163"/>
        <w:gridCol w:w="2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5" w:type="dxa"/>
            <w:vAlign w:val="center"/>
          </w:tcPr>
          <w:p>
            <w:pPr>
              <w:jc w:val="center"/>
              <w:rPr>
                <w:b/>
                <w:szCs w:val="21"/>
              </w:rPr>
            </w:pPr>
            <w:r>
              <w:rPr>
                <w:rFonts w:hint="eastAsia"/>
                <w:b/>
                <w:szCs w:val="21"/>
              </w:rPr>
              <w:t>序号</w:t>
            </w:r>
          </w:p>
        </w:tc>
        <w:tc>
          <w:tcPr>
            <w:tcW w:w="3082" w:type="dxa"/>
            <w:vAlign w:val="center"/>
          </w:tcPr>
          <w:p>
            <w:pPr>
              <w:jc w:val="center"/>
              <w:rPr>
                <w:b/>
                <w:szCs w:val="21"/>
              </w:rPr>
            </w:pPr>
            <w:r>
              <w:rPr>
                <w:rFonts w:hint="eastAsia"/>
                <w:b/>
                <w:szCs w:val="21"/>
              </w:rPr>
              <w:t>合同条款条目</w:t>
            </w:r>
          </w:p>
        </w:tc>
        <w:tc>
          <w:tcPr>
            <w:tcW w:w="1554" w:type="dxa"/>
            <w:vAlign w:val="center"/>
          </w:tcPr>
          <w:p>
            <w:pPr>
              <w:jc w:val="center"/>
              <w:rPr>
                <w:b/>
                <w:szCs w:val="21"/>
              </w:rPr>
            </w:pPr>
            <w:r>
              <w:rPr>
                <w:rFonts w:hint="eastAsia"/>
                <w:b/>
                <w:szCs w:val="21"/>
              </w:rPr>
              <w:t>完全响应</w:t>
            </w:r>
          </w:p>
        </w:tc>
        <w:tc>
          <w:tcPr>
            <w:tcW w:w="1163" w:type="dxa"/>
            <w:vAlign w:val="center"/>
          </w:tcPr>
          <w:p>
            <w:pPr>
              <w:jc w:val="center"/>
              <w:rPr>
                <w:b/>
                <w:szCs w:val="21"/>
              </w:rPr>
            </w:pPr>
            <w:r>
              <w:rPr>
                <w:rFonts w:hint="eastAsia"/>
                <w:b/>
                <w:szCs w:val="21"/>
              </w:rPr>
              <w:t>有偏离</w:t>
            </w:r>
          </w:p>
        </w:tc>
        <w:tc>
          <w:tcPr>
            <w:tcW w:w="2854" w:type="dxa"/>
            <w:vAlign w:val="center"/>
          </w:tcPr>
          <w:p>
            <w:pPr>
              <w:jc w:val="center"/>
              <w:rPr>
                <w:b/>
                <w:szCs w:val="21"/>
              </w:rPr>
            </w:pPr>
            <w:r>
              <w:rPr>
                <w:rFonts w:hint="eastAsia"/>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2</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3</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4</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5</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6</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7</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8</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9</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10</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11</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12</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13</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14</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5" w:type="dxa"/>
            <w:vAlign w:val="center"/>
          </w:tcPr>
          <w:p>
            <w:pPr>
              <w:jc w:val="center"/>
              <w:rPr>
                <w:szCs w:val="21"/>
              </w:rPr>
            </w:pPr>
            <w:r>
              <w:rPr>
                <w:rFonts w:hint="eastAsia"/>
                <w:szCs w:val="21"/>
              </w:rPr>
              <w:t>15</w:t>
            </w:r>
          </w:p>
        </w:tc>
        <w:tc>
          <w:tcPr>
            <w:tcW w:w="3082" w:type="dxa"/>
            <w:vAlign w:val="center"/>
          </w:tcPr>
          <w:p>
            <w:pPr>
              <w:rPr>
                <w:szCs w:val="21"/>
              </w:rPr>
            </w:pPr>
          </w:p>
        </w:tc>
        <w:tc>
          <w:tcPr>
            <w:tcW w:w="1554" w:type="dxa"/>
            <w:vAlign w:val="center"/>
          </w:tcPr>
          <w:p>
            <w:pPr>
              <w:jc w:val="center"/>
              <w:rPr>
                <w:szCs w:val="21"/>
              </w:rPr>
            </w:pPr>
          </w:p>
        </w:tc>
        <w:tc>
          <w:tcPr>
            <w:tcW w:w="1163" w:type="dxa"/>
            <w:vAlign w:val="center"/>
          </w:tcPr>
          <w:p>
            <w:pPr>
              <w:jc w:val="center"/>
              <w:rPr>
                <w:szCs w:val="21"/>
              </w:rPr>
            </w:pPr>
          </w:p>
        </w:tc>
        <w:tc>
          <w:tcPr>
            <w:tcW w:w="2854" w:type="dxa"/>
            <w:vAlign w:val="center"/>
          </w:tcPr>
          <w:p>
            <w:pPr>
              <w:jc w:val="center"/>
              <w:rPr>
                <w:szCs w:val="21"/>
              </w:rPr>
            </w:pPr>
          </w:p>
        </w:tc>
      </w:tr>
    </w:tbl>
    <w:p>
      <w:pPr>
        <w:spacing w:before="120" w:beforeLines="50" w:line="360" w:lineRule="auto"/>
        <w:rPr>
          <w:b/>
          <w:szCs w:val="21"/>
        </w:rPr>
      </w:pPr>
      <w:r>
        <w:rPr>
          <w:rFonts w:hint="eastAsia"/>
          <w:b/>
          <w:szCs w:val="21"/>
        </w:rPr>
        <w:t>备注：</w:t>
      </w:r>
    </w:p>
    <w:p>
      <w:pPr>
        <w:numPr>
          <w:ilvl w:val="3"/>
          <w:numId w:val="73"/>
        </w:numPr>
        <w:spacing w:before="120" w:beforeLines="50" w:line="360" w:lineRule="auto"/>
        <w:rPr>
          <w:b/>
          <w:szCs w:val="21"/>
        </w:rPr>
      </w:pPr>
      <w:r>
        <w:rPr>
          <w:rFonts w:hint="eastAsia"/>
          <w:b/>
          <w:szCs w:val="21"/>
        </w:rPr>
        <w:t>上表中仅填对有偏离的合同条款进行填写；</w:t>
      </w:r>
    </w:p>
    <w:p>
      <w:pPr>
        <w:numPr>
          <w:ilvl w:val="3"/>
          <w:numId w:val="73"/>
        </w:numPr>
        <w:spacing w:before="120" w:beforeLines="50" w:line="360" w:lineRule="auto"/>
        <w:rPr>
          <w:b/>
          <w:szCs w:val="21"/>
        </w:rPr>
      </w:pPr>
      <w:r>
        <w:rPr>
          <w:rFonts w:hint="eastAsia"/>
          <w:b/>
          <w:szCs w:val="21"/>
        </w:rPr>
        <w:t>若完全响应所有合同条款，则此表留空。</w:t>
      </w:r>
    </w:p>
    <w:p>
      <w:pPr>
        <w:spacing w:line="360" w:lineRule="auto"/>
        <w:rPr>
          <w:b/>
          <w:szCs w:val="21"/>
        </w:rPr>
      </w:pPr>
    </w:p>
    <w:p>
      <w:pPr>
        <w:pStyle w:val="12"/>
        <w:spacing w:line="480" w:lineRule="auto"/>
        <w:ind w:left="412" w:firstLine="3776" w:firstLineChars="1600"/>
        <w:rPr>
          <w:sz w:val="15"/>
        </w:rPr>
      </w:pPr>
      <w:r>
        <w:rPr>
          <w:spacing w:val="-2"/>
        </w:rPr>
        <w:t>投标人名称</w:t>
      </w:r>
      <w:r>
        <w:t>：</w:t>
      </w:r>
      <w:r>
        <w:rPr>
          <w:rFonts w:hint="eastAsia"/>
          <w:u w:val="single"/>
        </w:rPr>
        <w:t xml:space="preserve"> </w:t>
      </w:r>
      <w:r>
        <w:rPr>
          <w:u w:val="single"/>
        </w:rPr>
        <w:t xml:space="preserve">              </w:t>
      </w:r>
      <w:r>
        <w:t xml:space="preserve"> （</w:t>
      </w:r>
      <w:r>
        <w:rPr>
          <w:spacing w:val="-3"/>
        </w:rPr>
        <w:t>并加盖公章</w:t>
      </w:r>
      <w:r>
        <w:rPr>
          <w:spacing w:val="-108"/>
        </w:rPr>
        <w:t>）</w:t>
      </w:r>
    </w:p>
    <w:p>
      <w:pPr>
        <w:pStyle w:val="12"/>
        <w:tabs>
          <w:tab w:val="left" w:pos="5607"/>
        </w:tabs>
        <w:spacing w:before="1" w:line="480" w:lineRule="auto"/>
        <w:ind w:firstLine="4320" w:firstLineChars="1800"/>
        <w:rPr>
          <w:rFonts w:ascii="Times New Roman"/>
        </w:rPr>
      </w:pPr>
      <w:r>
        <w:t>投标</w:t>
      </w:r>
      <w:r>
        <w:rPr>
          <w:spacing w:val="-3"/>
        </w:rPr>
        <w:t>人</w:t>
      </w:r>
      <w:r>
        <w:t>法</w:t>
      </w:r>
      <w:r>
        <w:rPr>
          <w:spacing w:val="-3"/>
        </w:rPr>
        <w:t>定</w:t>
      </w:r>
      <w:r>
        <w:t>代</w:t>
      </w:r>
      <w:r>
        <w:rPr>
          <w:spacing w:val="-3"/>
        </w:rPr>
        <w:t>表</w:t>
      </w:r>
      <w:r>
        <w:t>人</w:t>
      </w:r>
      <w:r>
        <w:rPr>
          <w:spacing w:val="-3"/>
        </w:rPr>
        <w:t>或</w:t>
      </w:r>
      <w:r>
        <w:t>其</w:t>
      </w:r>
      <w:r>
        <w:rPr>
          <w:spacing w:val="-3"/>
        </w:rPr>
        <w:t>委</w:t>
      </w:r>
      <w:r>
        <w:t>托人</w:t>
      </w:r>
      <w:r>
        <w:rPr>
          <w:spacing w:val="-3"/>
        </w:rPr>
        <w:t>签</w:t>
      </w:r>
      <w:r>
        <w:t>字</w:t>
      </w:r>
      <w:r>
        <w:rPr>
          <w:spacing w:val="-3"/>
        </w:rPr>
        <w:t>或</w:t>
      </w:r>
      <w:r>
        <w:rPr>
          <w:rFonts w:hint="eastAsia"/>
        </w:rPr>
        <w:t>盖章</w:t>
      </w:r>
      <w:r>
        <w:t xml:space="preserve">： </w:t>
      </w:r>
      <w:r>
        <w:rPr>
          <w:rFonts w:ascii="Times New Roman" w:eastAsia="Times New Roman"/>
          <w:u w:val="single"/>
        </w:rPr>
        <w:t xml:space="preserve"> </w:t>
      </w:r>
      <w:r>
        <w:rPr>
          <w:rFonts w:ascii="Times New Roman" w:eastAsia="Times New Roman"/>
          <w:u w:val="single"/>
        </w:rPr>
        <w:tab/>
      </w:r>
    </w:p>
    <w:p>
      <w:pPr>
        <w:pStyle w:val="12"/>
        <w:tabs>
          <w:tab w:val="left" w:pos="835"/>
        </w:tabs>
        <w:spacing w:line="480" w:lineRule="auto"/>
        <w:ind w:left="412" w:firstLine="4800" w:firstLineChars="2000"/>
      </w:pPr>
      <w:r>
        <w:t>日</w:t>
      </w:r>
      <w:r>
        <w:tab/>
      </w:r>
      <w:r>
        <w:rPr>
          <w:spacing w:val="-3"/>
        </w:rPr>
        <w:t>期：</w:t>
      </w:r>
    </w:p>
    <w:p>
      <w:r>
        <w:rPr>
          <w:sz w:val="23"/>
        </w:rPr>
        <w:br w:type="page"/>
      </w:r>
      <w:bookmarkStart w:id="128" w:name="_bookmark39"/>
      <w:bookmarkEnd w:id="128"/>
      <w:bookmarkStart w:id="129" w:name="_bookmark40"/>
      <w:bookmarkEnd w:id="129"/>
      <w:bookmarkStart w:id="130" w:name="_bookmark37"/>
      <w:bookmarkEnd w:id="130"/>
    </w:p>
    <w:p>
      <w:pPr>
        <w:pStyle w:val="5"/>
        <w:tabs>
          <w:tab w:val="left" w:pos="851"/>
        </w:tabs>
        <w:ind w:left="0"/>
        <w:jc w:val="center"/>
      </w:pPr>
      <w:r>
        <w:rPr>
          <w:rFonts w:hint="eastAsia"/>
          <w:lang w:val="en-US"/>
        </w:rPr>
        <w:t>6</w:t>
      </w:r>
      <w:r>
        <w:rPr>
          <w:rFonts w:hint="eastAsia"/>
        </w:rPr>
        <w:t>、</w:t>
      </w:r>
      <w:r>
        <w:t>招标代理服务费承诺书</w:t>
      </w:r>
    </w:p>
    <w:p>
      <w:pPr>
        <w:pStyle w:val="12"/>
        <w:rPr>
          <w:b/>
          <w:sz w:val="20"/>
        </w:rPr>
      </w:pPr>
    </w:p>
    <w:p>
      <w:pPr>
        <w:pStyle w:val="12"/>
        <w:rPr>
          <w:b/>
          <w:sz w:val="20"/>
        </w:rPr>
      </w:pPr>
    </w:p>
    <w:p>
      <w:pPr>
        <w:pStyle w:val="12"/>
        <w:spacing w:before="7"/>
        <w:rPr>
          <w:b/>
          <w:sz w:val="17"/>
        </w:rPr>
      </w:pPr>
    </w:p>
    <w:p>
      <w:pPr>
        <w:spacing w:before="72" w:line="360" w:lineRule="auto"/>
        <w:ind w:left="232"/>
        <w:rPr>
          <w:b/>
        </w:rPr>
      </w:pPr>
      <w:r>
        <w:t>致：</w:t>
      </w:r>
      <w:r>
        <w:rPr>
          <w:rFonts w:hint="eastAsia"/>
          <w:b/>
        </w:rPr>
        <w:t>中达安股份有限公司</w:t>
      </w:r>
      <w:r>
        <w:rPr>
          <w:b/>
        </w:rPr>
        <w:t>：</w:t>
      </w:r>
    </w:p>
    <w:p>
      <w:pPr>
        <w:pStyle w:val="12"/>
        <w:spacing w:before="2" w:line="360" w:lineRule="auto"/>
        <w:rPr>
          <w:b/>
          <w:sz w:val="17"/>
        </w:rPr>
      </w:pPr>
    </w:p>
    <w:p>
      <w:pPr>
        <w:pStyle w:val="12"/>
        <w:tabs>
          <w:tab w:val="left" w:pos="3512"/>
          <w:tab w:val="left" w:pos="6166"/>
          <w:tab w:val="left" w:pos="8182"/>
        </w:tabs>
        <w:spacing w:line="360" w:lineRule="auto"/>
        <w:ind w:firstLine="480" w:firstLineChars="200"/>
        <w:rPr>
          <w:sz w:val="17"/>
        </w:rPr>
      </w:pPr>
      <w:r>
        <w:t>如果我方在贵公司组织的</w:t>
      </w:r>
      <w:r>
        <w:rPr>
          <w:u w:val="single"/>
        </w:rPr>
        <w:t xml:space="preserve"> </w:t>
      </w:r>
      <w:r>
        <w:rPr>
          <w:rFonts w:hint="eastAsia"/>
          <w:u w:val="single"/>
        </w:rPr>
        <w:t>广州市杂技艺术剧院有限责任公司小剧场舞台机械改造</w:t>
      </w:r>
      <w:r>
        <w:t>（项目编号：</w:t>
      </w:r>
      <w:r>
        <w:rPr>
          <w:u w:val="single"/>
        </w:rPr>
        <w:t xml:space="preserve"> </w:t>
      </w:r>
      <w:r>
        <w:rPr>
          <w:u w:val="single"/>
        </w:rPr>
        <w:tab/>
      </w:r>
      <w:r>
        <w:t>）招标中获中标，我方保证在收取《中标通知书》后，按招标文件规定向贵公司交纳招标代理服务费。</w:t>
      </w:r>
    </w:p>
    <w:p>
      <w:pPr>
        <w:pStyle w:val="12"/>
        <w:spacing w:before="1" w:line="360" w:lineRule="auto"/>
        <w:ind w:firstLine="480" w:firstLineChars="200"/>
      </w:pPr>
      <w:r>
        <w:t>我方如违约，愿凭贵公司开出的违约通知，同意按招标代理服务费的 200％接受处罚，并愿承担全部由此引起的法律责任。</w:t>
      </w:r>
    </w:p>
    <w:p>
      <w:pPr>
        <w:pStyle w:val="12"/>
        <w:spacing w:line="360" w:lineRule="auto"/>
        <w:ind w:firstLine="480" w:firstLineChars="200"/>
      </w:pPr>
      <w:r>
        <w:t>特此承诺！</w:t>
      </w:r>
    </w:p>
    <w:p>
      <w:pPr>
        <w:pStyle w:val="12"/>
        <w:spacing w:line="360" w:lineRule="auto"/>
        <w:rPr>
          <w:sz w:val="20"/>
        </w:rPr>
      </w:pPr>
    </w:p>
    <w:p>
      <w:pPr>
        <w:pStyle w:val="12"/>
        <w:spacing w:line="360" w:lineRule="auto"/>
        <w:rPr>
          <w:sz w:val="20"/>
        </w:rPr>
      </w:pPr>
    </w:p>
    <w:p>
      <w:pPr>
        <w:pStyle w:val="12"/>
        <w:spacing w:line="360" w:lineRule="auto"/>
        <w:rPr>
          <w:sz w:val="20"/>
        </w:rPr>
      </w:pPr>
    </w:p>
    <w:p>
      <w:pPr>
        <w:pStyle w:val="12"/>
        <w:spacing w:line="360" w:lineRule="auto"/>
        <w:rPr>
          <w:sz w:val="20"/>
        </w:rPr>
      </w:pPr>
    </w:p>
    <w:p>
      <w:pPr>
        <w:pStyle w:val="12"/>
        <w:spacing w:before="172" w:line="360" w:lineRule="auto"/>
        <w:ind w:right="1387"/>
        <w:jc w:val="right"/>
        <w:rPr>
          <w:sz w:val="15"/>
        </w:rPr>
      </w:pPr>
      <w:r>
        <w:t>投标人名称：</w:t>
      </w:r>
      <w:r>
        <w:rPr>
          <w:rFonts w:hint="eastAsia"/>
          <w:u w:val="single"/>
        </w:rPr>
        <w:t xml:space="preserve"> </w:t>
      </w:r>
      <w:r>
        <w:rPr>
          <w:u w:val="single"/>
        </w:rPr>
        <w:t xml:space="preserve">           </w:t>
      </w:r>
      <w:r>
        <w:t>（公章）</w:t>
      </w:r>
    </w:p>
    <w:p>
      <w:pPr>
        <w:pStyle w:val="12"/>
        <w:spacing w:line="360" w:lineRule="auto"/>
        <w:ind w:firstLine="4800" w:firstLineChars="2000"/>
        <w:rPr>
          <w:sz w:val="15"/>
          <w:u w:val="single"/>
        </w:rPr>
      </w:pPr>
      <w:r>
        <w:t>投标人地址：</w:t>
      </w:r>
      <w:r>
        <w:rPr>
          <w:rFonts w:hint="eastAsia"/>
          <w:u w:val="single"/>
        </w:rPr>
        <w:t xml:space="preserve"> </w:t>
      </w:r>
      <w:r>
        <w:rPr>
          <w:u w:val="single"/>
        </w:rPr>
        <w:t xml:space="preserve">            </w:t>
      </w:r>
    </w:p>
    <w:p>
      <w:pPr>
        <w:pStyle w:val="12"/>
        <w:tabs>
          <w:tab w:val="left" w:pos="6250"/>
        </w:tabs>
        <w:spacing w:line="360" w:lineRule="auto"/>
        <w:ind w:firstLine="4800" w:firstLineChars="2000"/>
      </w:pPr>
      <w:r>
        <w:t>投标人法定代表人或其委托人签字或</w:t>
      </w:r>
      <w:r>
        <w:rPr>
          <w:rFonts w:hint="eastAsia"/>
        </w:rPr>
        <w:t>盖章</w:t>
      </w:r>
      <w:r>
        <w:t>：</w:t>
      </w:r>
      <w:r>
        <w:rPr>
          <w:rFonts w:hint="eastAsia"/>
          <w:u w:val="single"/>
        </w:rPr>
        <w:t xml:space="preserve"> </w:t>
      </w:r>
      <w:r>
        <w:rPr>
          <w:u w:val="single"/>
        </w:rPr>
        <w:t xml:space="preserve">     </w:t>
      </w:r>
      <w:r>
        <w:t xml:space="preserve"> </w:t>
      </w:r>
    </w:p>
    <w:p>
      <w:pPr>
        <w:pStyle w:val="12"/>
        <w:tabs>
          <w:tab w:val="left" w:pos="6250"/>
        </w:tabs>
        <w:spacing w:line="360" w:lineRule="auto"/>
        <w:ind w:firstLine="480"/>
        <w:jc w:val="center"/>
        <w:rPr>
          <w:sz w:val="15"/>
          <w:u w:val="single"/>
        </w:rPr>
      </w:pPr>
      <w:r>
        <w:t>电话：</w:t>
      </w:r>
      <w:r>
        <w:rPr>
          <w:rFonts w:hint="eastAsia"/>
          <w:u w:val="single"/>
        </w:rPr>
        <w:t xml:space="preserve"> </w:t>
      </w:r>
      <w:r>
        <w:rPr>
          <w:u w:val="single"/>
        </w:rPr>
        <w:t xml:space="preserve">            </w:t>
      </w:r>
    </w:p>
    <w:p>
      <w:pPr>
        <w:pStyle w:val="12"/>
        <w:tabs>
          <w:tab w:val="left" w:pos="6250"/>
        </w:tabs>
        <w:spacing w:line="360" w:lineRule="auto"/>
        <w:ind w:firstLine="480"/>
        <w:jc w:val="center"/>
        <w:rPr>
          <w:sz w:val="15"/>
          <w:u w:val="single"/>
        </w:rPr>
      </w:pPr>
      <w:r>
        <w:t>传真：</w:t>
      </w:r>
      <w:r>
        <w:rPr>
          <w:rFonts w:hint="eastAsia"/>
          <w:u w:val="single"/>
        </w:rPr>
        <w:t xml:space="preserve"> </w:t>
      </w:r>
      <w:r>
        <w:rPr>
          <w:u w:val="single"/>
        </w:rPr>
        <w:t xml:space="preserve">                  </w:t>
      </w:r>
    </w:p>
    <w:p>
      <w:pPr>
        <w:pStyle w:val="12"/>
        <w:ind w:firstLine="4760" w:firstLineChars="2000"/>
        <w:rPr>
          <w:spacing w:val="-1"/>
          <w:u w:val="single"/>
        </w:rPr>
      </w:pPr>
      <w:r>
        <w:rPr>
          <w:spacing w:val="-1"/>
        </w:rPr>
        <w:t>承诺日期</w:t>
      </w:r>
      <w:r>
        <w:rPr>
          <w:rFonts w:hint="eastAsia"/>
          <w:spacing w:val="-1"/>
        </w:rPr>
        <w:t>：</w:t>
      </w:r>
      <w:bookmarkStart w:id="131" w:name="_bookmark47"/>
      <w:bookmarkEnd w:id="131"/>
      <w:r>
        <w:rPr>
          <w:rFonts w:hint="eastAsia"/>
          <w:spacing w:val="-1"/>
          <w:u w:val="single"/>
        </w:rPr>
        <w:t xml:space="preserve"> </w:t>
      </w:r>
      <w:r>
        <w:rPr>
          <w:spacing w:val="-1"/>
          <w:u w:val="single"/>
        </w:rPr>
        <w:t xml:space="preserve">                </w:t>
      </w:r>
    </w:p>
    <w:p>
      <w:pPr>
        <w:rPr>
          <w:spacing w:val="-1"/>
        </w:rPr>
      </w:pPr>
      <w:r>
        <w:rPr>
          <w:rFonts w:hint="eastAsia"/>
          <w:spacing w:val="-1"/>
        </w:rPr>
        <w:br w:type="page"/>
      </w:r>
    </w:p>
    <w:bookmarkEnd w:id="115"/>
    <w:bookmarkEnd w:id="116"/>
    <w:bookmarkEnd w:id="117"/>
    <w:bookmarkEnd w:id="118"/>
    <w:bookmarkEnd w:id="122"/>
    <w:bookmarkEnd w:id="123"/>
    <w:bookmarkEnd w:id="124"/>
    <w:p>
      <w:pPr>
        <w:pStyle w:val="5"/>
        <w:jc w:val="center"/>
      </w:pPr>
      <w:r>
        <w:rPr>
          <w:rFonts w:hint="eastAsia"/>
          <w:lang w:val="en-US"/>
        </w:rPr>
        <w:t>7</w:t>
      </w:r>
      <w:r>
        <w:t>、中小企业声明函</w:t>
      </w:r>
    </w:p>
    <w:p>
      <w:pPr>
        <w:pStyle w:val="12"/>
        <w:spacing w:before="11"/>
        <w:rPr>
          <w:b/>
          <w:sz w:val="43"/>
        </w:rPr>
      </w:pPr>
    </w:p>
    <w:p>
      <w:pPr>
        <w:pStyle w:val="12"/>
        <w:tabs>
          <w:tab w:val="left" w:pos="5495"/>
        </w:tabs>
        <w:spacing w:before="1" w:line="364" w:lineRule="auto"/>
        <w:ind w:left="760" w:right="1009" w:firstLine="504"/>
        <w:jc w:val="both"/>
      </w:pPr>
      <w:r>
        <w:rPr>
          <w:spacing w:val="12"/>
        </w:rPr>
        <w:t>本公司郑重声明</w:t>
      </w:r>
      <w:r>
        <w:rPr>
          <w:spacing w:val="9"/>
        </w:rPr>
        <w:t>，</w:t>
      </w:r>
      <w:r>
        <w:rPr>
          <w:spacing w:val="12"/>
        </w:rPr>
        <w:t>根</w:t>
      </w:r>
      <w:r>
        <w:rPr>
          <w:spacing w:val="9"/>
        </w:rPr>
        <w:t>据</w:t>
      </w:r>
      <w:r>
        <w:rPr>
          <w:spacing w:val="12"/>
        </w:rPr>
        <w:t>《政府采购促进中小企业发展暂行办法</w:t>
      </w:r>
      <w:r>
        <w:rPr>
          <w:spacing w:val="9"/>
        </w:rPr>
        <w:t>》（</w:t>
      </w:r>
      <w:r>
        <w:rPr>
          <w:spacing w:val="12"/>
        </w:rPr>
        <w:t>财</w:t>
      </w:r>
      <w:r>
        <w:rPr>
          <w:spacing w:val="-15"/>
        </w:rPr>
        <w:t>库</w:t>
      </w:r>
      <w:r>
        <w:rPr>
          <w:spacing w:val="4"/>
        </w:rPr>
        <w:t>[2011]181</w:t>
      </w:r>
      <w:r>
        <w:rPr>
          <w:spacing w:val="-44"/>
        </w:rPr>
        <w:t xml:space="preserve"> </w:t>
      </w:r>
      <w:r>
        <w:rPr>
          <w:spacing w:val="14"/>
        </w:rPr>
        <w:t>号</w:t>
      </w:r>
      <w:r>
        <w:rPr>
          <w:spacing w:val="16"/>
        </w:rPr>
        <w:t>）</w:t>
      </w:r>
      <w:r>
        <w:rPr>
          <w:spacing w:val="14"/>
        </w:rPr>
        <w:t>的规</w:t>
      </w:r>
      <w:r>
        <w:rPr>
          <w:spacing w:val="16"/>
        </w:rPr>
        <w:t>定</w:t>
      </w:r>
      <w:r>
        <w:rPr>
          <w:spacing w:val="14"/>
        </w:rPr>
        <w:t>，本</w:t>
      </w:r>
      <w:r>
        <w:rPr>
          <w:spacing w:val="16"/>
        </w:rPr>
        <w:t>公</w:t>
      </w:r>
      <w:r>
        <w:rPr>
          <w:spacing w:val="14"/>
        </w:rPr>
        <w:t>司为</w:t>
      </w:r>
      <w:r>
        <w:rPr>
          <w:spacing w:val="14"/>
          <w:u w:val="single"/>
        </w:rPr>
        <w:t xml:space="preserve"> </w:t>
      </w:r>
      <w:r>
        <w:rPr>
          <w:spacing w:val="14"/>
          <w:u w:val="single"/>
        </w:rPr>
        <w:tab/>
      </w:r>
      <w:r>
        <w:rPr>
          <w:spacing w:val="14"/>
        </w:rPr>
        <w:t>（</w:t>
      </w:r>
      <w:r>
        <w:rPr>
          <w:spacing w:val="16"/>
        </w:rPr>
        <w:t>请</w:t>
      </w:r>
      <w:r>
        <w:rPr>
          <w:spacing w:val="14"/>
        </w:rPr>
        <w:t>填写</w:t>
      </w:r>
      <w:r>
        <w:rPr>
          <w:spacing w:val="16"/>
        </w:rPr>
        <w:t>：</w:t>
      </w:r>
      <w:r>
        <w:rPr>
          <w:spacing w:val="14"/>
        </w:rPr>
        <w:t>中型</w:t>
      </w:r>
      <w:r>
        <w:rPr>
          <w:spacing w:val="16"/>
        </w:rPr>
        <w:t>、</w:t>
      </w:r>
      <w:r>
        <w:rPr>
          <w:spacing w:val="14"/>
        </w:rPr>
        <w:t>小型、</w:t>
      </w:r>
      <w:r>
        <w:rPr>
          <w:spacing w:val="16"/>
        </w:rPr>
        <w:t>微</w:t>
      </w:r>
      <w:r>
        <w:rPr>
          <w:spacing w:val="14"/>
        </w:rPr>
        <w:t>型</w:t>
      </w:r>
      <w:r>
        <w:t xml:space="preserve">） </w:t>
      </w:r>
      <w:r>
        <w:rPr>
          <w:spacing w:val="12"/>
        </w:rPr>
        <w:t>企业。即，本公司同时满足以下条件</w:t>
      </w:r>
      <w:r>
        <w:t>：</w:t>
      </w:r>
    </w:p>
    <w:p>
      <w:pPr>
        <w:pStyle w:val="12"/>
        <w:tabs>
          <w:tab w:val="left" w:pos="4773"/>
          <w:tab w:val="left" w:pos="5708"/>
          <w:tab w:val="left" w:pos="6007"/>
        </w:tabs>
        <w:spacing w:line="357" w:lineRule="auto"/>
        <w:ind w:left="749" w:right="882" w:firstLine="430"/>
        <w:jc w:val="both"/>
      </w:pPr>
      <w:r>
        <w:rPr>
          <w:spacing w:val="4"/>
        </w:rPr>
        <w:t>1</w:t>
      </w:r>
      <w:r>
        <w:rPr>
          <w:spacing w:val="12"/>
        </w:rPr>
        <w:t>、根</w:t>
      </w:r>
      <w:r>
        <w:t>据</w:t>
      </w:r>
      <w:r>
        <w:rPr>
          <w:spacing w:val="12"/>
        </w:rPr>
        <w:t>《工业和信息化部</w:t>
      </w:r>
      <w:r>
        <w:t>、</w:t>
      </w:r>
      <w:r>
        <w:rPr>
          <w:spacing w:val="12"/>
        </w:rPr>
        <w:t>国家统计局</w:t>
      </w:r>
      <w:r>
        <w:rPr>
          <w:spacing w:val="-3"/>
        </w:rPr>
        <w:t>、</w:t>
      </w:r>
      <w:r>
        <w:rPr>
          <w:spacing w:val="12"/>
        </w:rPr>
        <w:t>国家发展和改革委员会</w:t>
      </w:r>
      <w:r>
        <w:t>、</w:t>
      </w:r>
      <w:r>
        <w:rPr>
          <w:spacing w:val="12"/>
        </w:rPr>
        <w:t>财</w:t>
      </w:r>
      <w:r>
        <w:t>政</w:t>
      </w:r>
      <w:r>
        <w:rPr>
          <w:spacing w:val="14"/>
        </w:rPr>
        <w:t>部关</w:t>
      </w:r>
      <w:r>
        <w:rPr>
          <w:spacing w:val="12"/>
        </w:rPr>
        <w:t>于</w:t>
      </w:r>
      <w:r>
        <w:rPr>
          <w:spacing w:val="14"/>
        </w:rPr>
        <w:t>印发中小</w:t>
      </w:r>
      <w:r>
        <w:rPr>
          <w:spacing w:val="12"/>
        </w:rPr>
        <w:t>企</w:t>
      </w:r>
      <w:r>
        <w:rPr>
          <w:spacing w:val="14"/>
        </w:rPr>
        <w:t>业划型</w:t>
      </w:r>
      <w:r>
        <w:rPr>
          <w:spacing w:val="12"/>
        </w:rPr>
        <w:t>标</w:t>
      </w:r>
      <w:r>
        <w:rPr>
          <w:spacing w:val="14"/>
        </w:rPr>
        <w:t>准规定的</w:t>
      </w:r>
      <w:r>
        <w:rPr>
          <w:spacing w:val="12"/>
        </w:rPr>
        <w:t>通</w:t>
      </w:r>
      <w:r>
        <w:rPr>
          <w:spacing w:val="14"/>
        </w:rPr>
        <w:t>知》（工</w:t>
      </w:r>
      <w:r>
        <w:rPr>
          <w:spacing w:val="12"/>
        </w:rPr>
        <w:t>信</w:t>
      </w:r>
      <w:r>
        <w:rPr>
          <w:spacing w:val="14"/>
        </w:rPr>
        <w:t>部联企</w:t>
      </w:r>
      <w:r>
        <w:rPr>
          <w:spacing w:val="12"/>
        </w:rPr>
        <w:t>业</w:t>
      </w:r>
      <w:r>
        <w:rPr>
          <w:spacing w:val="4"/>
        </w:rPr>
        <w:t>[2011]300</w:t>
      </w:r>
      <w:r>
        <w:rPr>
          <w:spacing w:val="-44"/>
        </w:rPr>
        <w:t xml:space="preserve"> </w:t>
      </w:r>
      <w:r>
        <w:rPr>
          <w:spacing w:val="14"/>
        </w:rPr>
        <w:t>号</w:t>
      </w:r>
      <w:r>
        <w:t xml:space="preserve">） </w:t>
      </w:r>
      <w:r>
        <w:rPr>
          <w:spacing w:val="14"/>
        </w:rPr>
        <w:t>规定的划分标准：第四条第</w:t>
      </w:r>
      <w:r>
        <w:rPr>
          <w:spacing w:val="14"/>
          <w:u w:val="single"/>
        </w:rPr>
        <w:t xml:space="preserve"> </w:t>
      </w:r>
      <w:r>
        <w:rPr>
          <w:spacing w:val="14"/>
          <w:u w:val="single"/>
        </w:rPr>
        <w:tab/>
      </w:r>
      <w:r>
        <w:rPr>
          <w:spacing w:val="14"/>
        </w:rPr>
        <w:t>项</w:t>
      </w:r>
      <w:r>
        <w:rPr>
          <w:spacing w:val="14"/>
          <w:u w:val="single"/>
        </w:rPr>
        <w:t xml:space="preserve"> </w:t>
      </w:r>
      <w:r>
        <w:rPr>
          <w:spacing w:val="14"/>
          <w:u w:val="single"/>
        </w:rPr>
        <w:tab/>
      </w:r>
      <w:r>
        <w:rPr>
          <w:spacing w:val="14"/>
          <w:u w:val="single"/>
        </w:rPr>
        <w:tab/>
      </w:r>
      <w:r>
        <w:rPr>
          <w:spacing w:val="14"/>
        </w:rPr>
        <w:t>行业，本公司（</w:t>
      </w:r>
      <w:r>
        <w:rPr>
          <w:spacing w:val="14"/>
          <w:u w:val="single"/>
        </w:rPr>
        <w:t>此处填写从业人员及营业收入的具体数据</w:t>
      </w:r>
      <w:r>
        <w:rPr>
          <w:spacing w:val="14"/>
        </w:rPr>
        <w:t>）</w:t>
      </w:r>
      <w:r>
        <w:rPr>
          <w:spacing w:val="-36"/>
        </w:rPr>
        <w:t>，</w:t>
      </w:r>
      <w:r>
        <w:rPr>
          <w:spacing w:val="11"/>
        </w:rPr>
        <w:t>为</w:t>
      </w:r>
      <w:r>
        <w:rPr>
          <w:spacing w:val="11"/>
          <w:u w:val="single"/>
        </w:rPr>
        <w:t xml:space="preserve"> </w:t>
      </w:r>
      <w:r>
        <w:rPr>
          <w:spacing w:val="11"/>
          <w:u w:val="single"/>
        </w:rPr>
        <w:tab/>
      </w:r>
      <w:r>
        <w:rPr>
          <w:spacing w:val="11"/>
          <w:u w:val="single"/>
        </w:rPr>
        <w:tab/>
      </w:r>
      <w:r>
        <w:rPr>
          <w:spacing w:val="12"/>
        </w:rPr>
        <w:t>（请填写</w:t>
      </w:r>
      <w:r>
        <w:rPr>
          <w:spacing w:val="-3"/>
        </w:rPr>
        <w:t>：</w:t>
      </w:r>
      <w:r>
        <w:rPr>
          <w:spacing w:val="12"/>
        </w:rPr>
        <w:t>中</w:t>
      </w:r>
      <w:r>
        <w:rPr>
          <w:spacing w:val="11"/>
        </w:rPr>
        <w:t>型</w:t>
      </w:r>
      <w:r>
        <w:rPr>
          <w:spacing w:val="-3"/>
        </w:rPr>
        <w:t>、</w:t>
      </w:r>
      <w:r>
        <w:rPr>
          <w:spacing w:val="12"/>
        </w:rPr>
        <w:t>小型</w:t>
      </w:r>
      <w:r>
        <w:rPr>
          <w:spacing w:val="-3"/>
        </w:rPr>
        <w:t>、</w:t>
      </w:r>
      <w:r>
        <w:rPr>
          <w:spacing w:val="12"/>
        </w:rPr>
        <w:t>微型</w:t>
      </w:r>
      <w:r>
        <w:t xml:space="preserve">） </w:t>
      </w:r>
      <w:r>
        <w:rPr>
          <w:spacing w:val="12"/>
        </w:rPr>
        <w:t>企业</w:t>
      </w:r>
      <w:r>
        <w:t>。</w:t>
      </w:r>
    </w:p>
    <w:p>
      <w:pPr>
        <w:pStyle w:val="12"/>
        <w:tabs>
          <w:tab w:val="left" w:pos="3935"/>
          <w:tab w:val="left" w:pos="7539"/>
        </w:tabs>
        <w:spacing w:before="3" w:line="364" w:lineRule="auto"/>
        <w:ind w:left="760" w:right="1009" w:firstLine="420"/>
      </w:pPr>
      <w:r>
        <w:rPr>
          <w:spacing w:val="4"/>
        </w:rPr>
        <w:t>2</w:t>
      </w:r>
      <w:r>
        <w:rPr>
          <w:spacing w:val="12"/>
        </w:rPr>
        <w:t>、</w:t>
      </w:r>
      <w:r>
        <w:rPr>
          <w:spacing w:val="14"/>
        </w:rPr>
        <w:t>本公司</w:t>
      </w:r>
      <w:r>
        <w:rPr>
          <w:spacing w:val="16"/>
        </w:rPr>
        <w:t>参</w:t>
      </w:r>
      <w:r>
        <w:rPr>
          <w:spacing w:val="14"/>
        </w:rPr>
        <w:t>加</w:t>
      </w:r>
      <w:r>
        <w:rPr>
          <w:spacing w:val="14"/>
          <w:u w:val="single"/>
        </w:rPr>
        <w:t xml:space="preserve"> </w:t>
      </w:r>
      <w:r>
        <w:rPr>
          <w:spacing w:val="14"/>
          <w:u w:val="single"/>
        </w:rPr>
        <w:tab/>
      </w:r>
      <w:r>
        <w:t>采购项</w:t>
      </w:r>
      <w:r>
        <w:rPr>
          <w:spacing w:val="4"/>
        </w:rPr>
        <w:t>目</w:t>
      </w:r>
      <w:r>
        <w:rPr>
          <w:spacing w:val="14"/>
        </w:rPr>
        <w:t>（项目</w:t>
      </w:r>
      <w:r>
        <w:rPr>
          <w:spacing w:val="16"/>
        </w:rPr>
        <w:t>编</w:t>
      </w:r>
      <w:r>
        <w:rPr>
          <w:spacing w:val="14"/>
        </w:rPr>
        <w:t>号：</w:t>
      </w:r>
      <w:r>
        <w:rPr>
          <w:spacing w:val="14"/>
          <w:u w:val="single"/>
        </w:rPr>
        <w:t xml:space="preserve"> </w:t>
      </w:r>
      <w:r>
        <w:rPr>
          <w:spacing w:val="14"/>
          <w:u w:val="single"/>
        </w:rPr>
        <w:tab/>
      </w:r>
      <w:r>
        <w:rPr>
          <w:spacing w:val="14"/>
        </w:rPr>
        <w:t>）采购</w:t>
      </w:r>
      <w:r>
        <w:rPr>
          <w:spacing w:val="16"/>
        </w:rPr>
        <w:t>活</w:t>
      </w:r>
      <w:r>
        <w:rPr>
          <w:spacing w:val="14"/>
        </w:rPr>
        <w:t>动</w:t>
      </w:r>
      <w:r>
        <w:rPr>
          <w:spacing w:val="-14"/>
        </w:rPr>
        <w:t>提</w:t>
      </w:r>
      <w:r>
        <w:rPr>
          <w:spacing w:val="38"/>
        </w:rPr>
        <w:t>供</w:t>
      </w:r>
      <w:r>
        <w:rPr>
          <w:spacing w:val="36"/>
        </w:rPr>
        <w:t>本</w:t>
      </w:r>
      <w:r>
        <w:rPr>
          <w:spacing w:val="38"/>
        </w:rPr>
        <w:t>企业制</w:t>
      </w:r>
      <w:r>
        <w:rPr>
          <w:spacing w:val="36"/>
        </w:rPr>
        <w:t>造</w:t>
      </w:r>
      <w:r>
        <w:rPr>
          <w:spacing w:val="38"/>
        </w:rPr>
        <w:t>的货</w:t>
      </w:r>
      <w:r>
        <w:rPr>
          <w:spacing w:val="36"/>
        </w:rPr>
        <w:t>物</w:t>
      </w:r>
      <w:r>
        <w:t>，</w:t>
      </w:r>
      <w:r>
        <w:rPr>
          <w:spacing w:val="-82"/>
        </w:rPr>
        <w:t xml:space="preserve"> </w:t>
      </w:r>
      <w:r>
        <w:rPr>
          <w:spacing w:val="38"/>
        </w:rPr>
        <w:t>由本</w:t>
      </w:r>
      <w:r>
        <w:rPr>
          <w:spacing w:val="36"/>
        </w:rPr>
        <w:t>企</w:t>
      </w:r>
      <w:r>
        <w:rPr>
          <w:spacing w:val="38"/>
        </w:rPr>
        <w:t>业承</w:t>
      </w:r>
      <w:r>
        <w:rPr>
          <w:spacing w:val="36"/>
        </w:rPr>
        <w:t>担</w:t>
      </w:r>
      <w:r>
        <w:rPr>
          <w:spacing w:val="38"/>
        </w:rPr>
        <w:t>工程、</w:t>
      </w:r>
      <w:r>
        <w:rPr>
          <w:spacing w:val="36"/>
        </w:rPr>
        <w:t>提</w:t>
      </w:r>
      <w:r>
        <w:rPr>
          <w:spacing w:val="38"/>
        </w:rPr>
        <w:t>供服务</w:t>
      </w:r>
      <w:r>
        <w:t>，</w:t>
      </w:r>
      <w:r>
        <w:rPr>
          <w:spacing w:val="-84"/>
        </w:rPr>
        <w:t xml:space="preserve"> </w:t>
      </w:r>
      <w:r>
        <w:rPr>
          <w:spacing w:val="38"/>
        </w:rPr>
        <w:t>或者</w:t>
      </w:r>
      <w:r>
        <w:rPr>
          <w:spacing w:val="36"/>
        </w:rPr>
        <w:t>提</w:t>
      </w:r>
      <w:r>
        <w:rPr>
          <w:spacing w:val="38"/>
        </w:rPr>
        <w:t>供其</w:t>
      </w:r>
      <w:r>
        <w:t>他</w:t>
      </w:r>
    </w:p>
    <w:p>
      <w:pPr>
        <w:pStyle w:val="12"/>
        <w:spacing w:line="362" w:lineRule="auto"/>
        <w:ind w:left="760" w:right="1009"/>
      </w:pPr>
      <w:r>
        <w:t>（请填写：中型、小型、微型）企业制造的货物。本条所称货物不包括使用大型企业注册商标的货物。</w:t>
      </w:r>
    </w:p>
    <w:p>
      <w:pPr>
        <w:pStyle w:val="12"/>
        <w:spacing w:before="3"/>
        <w:ind w:left="1264"/>
      </w:pPr>
      <w:r>
        <w:t>本公司对上述声明的真实性负责。如有虚假，将依法承担相应责任。</w:t>
      </w:r>
    </w:p>
    <w:p>
      <w:pPr>
        <w:pStyle w:val="12"/>
      </w:pPr>
    </w:p>
    <w:p>
      <w:pPr>
        <w:pStyle w:val="12"/>
      </w:pPr>
    </w:p>
    <w:p>
      <w:pPr>
        <w:pStyle w:val="12"/>
      </w:pPr>
    </w:p>
    <w:p>
      <w:pPr>
        <w:pStyle w:val="12"/>
        <w:tabs>
          <w:tab w:val="left" w:pos="6759"/>
          <w:tab w:val="left" w:pos="7359"/>
          <w:tab w:val="left" w:pos="7959"/>
        </w:tabs>
        <w:spacing w:before="172" w:line="362" w:lineRule="auto"/>
        <w:ind w:right="1331"/>
        <w:jc w:val="right"/>
        <w:rPr>
          <w:spacing w:val="-9"/>
        </w:rPr>
      </w:pPr>
      <w:r>
        <w:t>投标人名称（加盖公章</w:t>
      </w:r>
      <w:r>
        <w:rPr>
          <w:spacing w:val="-9"/>
        </w:rPr>
        <w:t>）：</w:t>
      </w:r>
    </w:p>
    <w:p>
      <w:pPr>
        <w:pStyle w:val="12"/>
        <w:tabs>
          <w:tab w:val="left" w:pos="6759"/>
          <w:tab w:val="left" w:pos="7359"/>
          <w:tab w:val="left" w:pos="7959"/>
        </w:tabs>
        <w:spacing w:before="172" w:line="362" w:lineRule="auto"/>
        <w:ind w:right="1331"/>
        <w:jc w:val="right"/>
      </w:pPr>
      <w:r>
        <w:rPr>
          <w:spacing w:val="-9"/>
        </w:rPr>
        <w:t xml:space="preserve"> </w:t>
      </w:r>
      <w:r>
        <w:t>日期：</w:t>
      </w: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2"/>
      </w:pPr>
    </w:p>
    <w:p>
      <w:pPr>
        <w:pStyle w:val="12"/>
        <w:spacing w:before="163" w:line="364" w:lineRule="auto"/>
        <w:ind w:left="760" w:right="1009" w:firstLine="520"/>
        <w:sectPr>
          <w:footerReference r:id="rId12" w:type="default"/>
          <w:pgSz w:w="11910" w:h="16840"/>
          <w:pgMar w:top="1219" w:right="1219" w:bottom="1219" w:left="1219" w:header="924" w:footer="902" w:gutter="0"/>
          <w:cols w:space="720" w:num="1"/>
        </w:sectPr>
      </w:pPr>
      <w:r>
        <w:t>说明：提供其他中小企业制造的货物，必须同时提供该中小企业的声明函（见下页格式）。</w:t>
      </w:r>
    </w:p>
    <w:p>
      <w:pPr>
        <w:pStyle w:val="12"/>
        <w:spacing w:before="2"/>
      </w:pPr>
    </w:p>
    <w:p>
      <w:pPr>
        <w:pStyle w:val="5"/>
        <w:ind w:left="1046" w:right="1283"/>
        <w:jc w:val="center"/>
      </w:pPr>
      <w:r>
        <w:rPr>
          <w:rFonts w:hint="eastAsia"/>
        </w:rPr>
        <w:t>8、</w:t>
      </w:r>
      <w:r>
        <w:t>中小企业声明函（制造商）</w:t>
      </w:r>
    </w:p>
    <w:p/>
    <w:p>
      <w:pPr>
        <w:pStyle w:val="12"/>
        <w:tabs>
          <w:tab w:val="left" w:pos="6375"/>
          <w:tab w:val="left" w:pos="7590"/>
        </w:tabs>
        <w:spacing w:before="199" w:line="364" w:lineRule="auto"/>
        <w:ind w:left="760" w:right="1009" w:firstLine="504"/>
        <w:jc w:val="both"/>
      </w:pPr>
      <w:r>
        <w:rPr>
          <w:spacing w:val="12"/>
        </w:rPr>
        <w:t>本公司郑重声明</w:t>
      </w:r>
      <w:r>
        <w:rPr>
          <w:spacing w:val="9"/>
        </w:rPr>
        <w:t>，</w:t>
      </w:r>
      <w:r>
        <w:rPr>
          <w:spacing w:val="12"/>
        </w:rPr>
        <w:t>根</w:t>
      </w:r>
      <w:r>
        <w:rPr>
          <w:spacing w:val="9"/>
        </w:rPr>
        <w:t>据</w:t>
      </w:r>
      <w:r>
        <w:rPr>
          <w:spacing w:val="12"/>
        </w:rPr>
        <w:t>《政府采购促进中小企业发展暂行办法</w:t>
      </w:r>
      <w:r>
        <w:rPr>
          <w:spacing w:val="9"/>
        </w:rPr>
        <w:t>》（</w:t>
      </w:r>
      <w:r>
        <w:rPr>
          <w:spacing w:val="12"/>
        </w:rPr>
        <w:t>财</w:t>
      </w:r>
      <w:r>
        <w:rPr>
          <w:spacing w:val="-15"/>
        </w:rPr>
        <w:t>库</w:t>
      </w:r>
      <w:r>
        <w:rPr>
          <w:spacing w:val="4"/>
        </w:rPr>
        <w:t>[2011]181</w:t>
      </w:r>
      <w:r>
        <w:rPr>
          <w:spacing w:val="-44"/>
        </w:rPr>
        <w:t xml:space="preserve"> </w:t>
      </w:r>
      <w:r>
        <w:rPr>
          <w:spacing w:val="14"/>
        </w:rPr>
        <w:t>号）</w:t>
      </w:r>
      <w:r>
        <w:rPr>
          <w:spacing w:val="12"/>
        </w:rPr>
        <w:t>的</w:t>
      </w:r>
      <w:r>
        <w:rPr>
          <w:spacing w:val="14"/>
        </w:rPr>
        <w:t>规定和《</w:t>
      </w:r>
      <w:r>
        <w:rPr>
          <w:spacing w:val="12"/>
        </w:rPr>
        <w:t>工</w:t>
      </w:r>
      <w:r>
        <w:rPr>
          <w:spacing w:val="14"/>
        </w:rPr>
        <w:t>业和信</w:t>
      </w:r>
      <w:r>
        <w:rPr>
          <w:spacing w:val="12"/>
        </w:rPr>
        <w:t>息</w:t>
      </w:r>
      <w:r>
        <w:rPr>
          <w:spacing w:val="14"/>
        </w:rPr>
        <w:t>化部、国</w:t>
      </w:r>
      <w:r>
        <w:rPr>
          <w:spacing w:val="12"/>
        </w:rPr>
        <w:t>家</w:t>
      </w:r>
      <w:r>
        <w:rPr>
          <w:spacing w:val="14"/>
        </w:rPr>
        <w:t>统计局、</w:t>
      </w:r>
      <w:r>
        <w:rPr>
          <w:spacing w:val="12"/>
        </w:rPr>
        <w:t>国</w:t>
      </w:r>
      <w:r>
        <w:rPr>
          <w:spacing w:val="14"/>
        </w:rPr>
        <w:t>家发展和</w:t>
      </w:r>
      <w:r>
        <w:rPr>
          <w:spacing w:val="12"/>
        </w:rPr>
        <w:t>改</w:t>
      </w:r>
      <w:r>
        <w:t>革</w:t>
      </w:r>
      <w:r>
        <w:rPr>
          <w:spacing w:val="19"/>
        </w:rPr>
        <w:t>委</w:t>
      </w:r>
      <w:r>
        <w:rPr>
          <w:spacing w:val="21"/>
        </w:rPr>
        <w:t>员</w:t>
      </w:r>
      <w:r>
        <w:rPr>
          <w:spacing w:val="19"/>
        </w:rPr>
        <w:t>会、财</w:t>
      </w:r>
      <w:r>
        <w:rPr>
          <w:spacing w:val="21"/>
        </w:rPr>
        <w:t>政</w:t>
      </w:r>
      <w:r>
        <w:rPr>
          <w:spacing w:val="19"/>
        </w:rPr>
        <w:t>部关于</w:t>
      </w:r>
      <w:r>
        <w:rPr>
          <w:spacing w:val="21"/>
        </w:rPr>
        <w:t>印</w:t>
      </w:r>
      <w:r>
        <w:rPr>
          <w:spacing w:val="19"/>
        </w:rPr>
        <w:t>发中小</w:t>
      </w:r>
      <w:r>
        <w:rPr>
          <w:spacing w:val="21"/>
        </w:rPr>
        <w:t>企</w:t>
      </w:r>
      <w:r>
        <w:rPr>
          <w:spacing w:val="19"/>
        </w:rPr>
        <w:t>业划型</w:t>
      </w:r>
      <w:r>
        <w:rPr>
          <w:spacing w:val="21"/>
        </w:rPr>
        <w:t>标</w:t>
      </w:r>
      <w:r>
        <w:rPr>
          <w:spacing w:val="19"/>
        </w:rPr>
        <w:t>准规定</w:t>
      </w:r>
      <w:r>
        <w:rPr>
          <w:spacing w:val="21"/>
        </w:rPr>
        <w:t>的</w:t>
      </w:r>
      <w:r>
        <w:rPr>
          <w:spacing w:val="19"/>
        </w:rPr>
        <w:t>通知》</w:t>
      </w:r>
      <w:r>
        <w:t>（</w:t>
      </w:r>
      <w:r>
        <w:rPr>
          <w:spacing w:val="-99"/>
        </w:rPr>
        <w:t xml:space="preserve"> </w:t>
      </w:r>
      <w:r>
        <w:rPr>
          <w:spacing w:val="19"/>
        </w:rPr>
        <w:t>工信部</w:t>
      </w:r>
      <w:r>
        <w:rPr>
          <w:spacing w:val="21"/>
        </w:rPr>
        <w:t>联</w:t>
      </w:r>
      <w:r>
        <w:rPr>
          <w:spacing w:val="19"/>
        </w:rPr>
        <w:t>企</w:t>
      </w:r>
      <w:r>
        <w:t>业</w:t>
      </w:r>
      <w:r>
        <w:rPr>
          <w:spacing w:val="4"/>
        </w:rPr>
        <w:t>[2011]300</w:t>
      </w:r>
      <w:r>
        <w:rPr>
          <w:spacing w:val="-46"/>
        </w:rPr>
        <w:t xml:space="preserve"> </w:t>
      </w:r>
      <w:r>
        <w:rPr>
          <w:spacing w:val="12"/>
        </w:rPr>
        <w:t>号</w:t>
      </w:r>
      <w:r>
        <w:rPr>
          <w:spacing w:val="-24"/>
        </w:rPr>
        <w:t>）</w:t>
      </w:r>
      <w:r>
        <w:rPr>
          <w:spacing w:val="12"/>
        </w:rPr>
        <w:t>规定的划分标</w:t>
      </w:r>
      <w:r>
        <w:rPr>
          <w:spacing w:val="14"/>
        </w:rPr>
        <w:t>准</w:t>
      </w:r>
      <w:r>
        <w:rPr>
          <w:spacing w:val="-24"/>
        </w:rPr>
        <w:t>：</w:t>
      </w:r>
      <w:r>
        <w:rPr>
          <w:spacing w:val="12"/>
        </w:rPr>
        <w:t>第四条第</w:t>
      </w:r>
      <w:r>
        <w:rPr>
          <w:spacing w:val="12"/>
          <w:u w:val="single"/>
        </w:rPr>
        <w:t xml:space="preserve"> </w:t>
      </w:r>
      <w:r>
        <w:rPr>
          <w:spacing w:val="12"/>
          <w:u w:val="single"/>
        </w:rPr>
        <w:tab/>
      </w:r>
      <w:r>
        <w:rPr>
          <w:spacing w:val="12"/>
        </w:rPr>
        <w:t>项</w:t>
      </w:r>
      <w:r>
        <w:rPr>
          <w:spacing w:val="12"/>
          <w:u w:val="single"/>
        </w:rPr>
        <w:t xml:space="preserve"> </w:t>
      </w:r>
      <w:r>
        <w:rPr>
          <w:spacing w:val="12"/>
          <w:u w:val="single"/>
        </w:rPr>
        <w:tab/>
      </w:r>
      <w:r>
        <w:rPr>
          <w:spacing w:val="12"/>
        </w:rPr>
        <w:t>行业</w:t>
      </w:r>
      <w:r>
        <w:rPr>
          <w:spacing w:val="-24"/>
        </w:rPr>
        <w:t>，</w:t>
      </w:r>
      <w:r>
        <w:rPr>
          <w:spacing w:val="12"/>
        </w:rPr>
        <w:t>本公</w:t>
      </w:r>
      <w:r>
        <w:rPr>
          <w:spacing w:val="-17"/>
        </w:rPr>
        <w:t>司</w:t>
      </w:r>
    </w:p>
    <w:p>
      <w:pPr>
        <w:tabs>
          <w:tab w:val="left" w:pos="7196"/>
        </w:tabs>
        <w:spacing w:line="355" w:lineRule="auto"/>
        <w:ind w:left="760" w:right="884" w:hanging="11"/>
        <w:rPr>
          <w:sz w:val="24"/>
        </w:rPr>
      </w:pPr>
      <w:r>
        <w:rPr>
          <w:i/>
          <w:spacing w:val="-65"/>
          <w:w w:val="95"/>
          <w:sz w:val="25"/>
          <w:u w:val="dotted"/>
        </w:rPr>
        <w:t>（</w:t>
      </w:r>
      <w:r>
        <w:rPr>
          <w:spacing w:val="19"/>
          <w:sz w:val="24"/>
          <w:szCs w:val="24"/>
          <w:u w:val="single"/>
        </w:rPr>
        <w:t>此处填写营业收入及从业人员的具体数据</w:t>
      </w:r>
      <w:r>
        <w:rPr>
          <w:spacing w:val="19"/>
          <w:sz w:val="24"/>
          <w:szCs w:val="24"/>
        </w:rPr>
        <w:t>），</w:t>
      </w:r>
      <w:r>
        <w:rPr>
          <w:spacing w:val="11"/>
          <w:w w:val="95"/>
          <w:sz w:val="24"/>
        </w:rPr>
        <w:t>为</w:t>
      </w:r>
      <w:r>
        <w:rPr>
          <w:spacing w:val="11"/>
          <w:w w:val="95"/>
          <w:sz w:val="24"/>
          <w:u w:val="single"/>
        </w:rPr>
        <w:t xml:space="preserve"> </w:t>
      </w:r>
      <w:r>
        <w:rPr>
          <w:spacing w:val="11"/>
          <w:w w:val="95"/>
          <w:sz w:val="24"/>
          <w:u w:val="single"/>
        </w:rPr>
        <w:tab/>
      </w:r>
      <w:r>
        <w:rPr>
          <w:spacing w:val="12"/>
          <w:sz w:val="24"/>
        </w:rPr>
        <w:t>（请填写</w:t>
      </w:r>
      <w:r>
        <w:rPr>
          <w:spacing w:val="-10"/>
          <w:sz w:val="24"/>
        </w:rPr>
        <w:t>：</w:t>
      </w:r>
      <w:r>
        <w:rPr>
          <w:spacing w:val="12"/>
          <w:sz w:val="24"/>
        </w:rPr>
        <w:t>中型</w:t>
      </w:r>
      <w:r>
        <w:rPr>
          <w:spacing w:val="-16"/>
          <w:sz w:val="24"/>
        </w:rPr>
        <w:t>、</w:t>
      </w:r>
      <w:r>
        <w:rPr>
          <w:spacing w:val="12"/>
          <w:sz w:val="24"/>
        </w:rPr>
        <w:t>小型、微型）企业</w:t>
      </w:r>
      <w:r>
        <w:rPr>
          <w:sz w:val="24"/>
        </w:rPr>
        <w:t>。</w:t>
      </w:r>
    </w:p>
    <w:p>
      <w:pPr>
        <w:pStyle w:val="12"/>
        <w:spacing w:before="2"/>
        <w:ind w:left="1264"/>
      </w:pPr>
      <w:r>
        <w:t>本公司对上述声明的真实性负责。如有虚假，将依法承担相应责任。</w:t>
      </w:r>
    </w:p>
    <w:p>
      <w:pPr>
        <w:pStyle w:val="12"/>
      </w:pPr>
    </w:p>
    <w:p>
      <w:pPr>
        <w:pStyle w:val="12"/>
      </w:pPr>
    </w:p>
    <w:p>
      <w:pPr>
        <w:pStyle w:val="12"/>
      </w:pPr>
    </w:p>
    <w:p>
      <w:pPr>
        <w:pStyle w:val="12"/>
        <w:spacing w:before="169"/>
        <w:ind w:left="4827"/>
      </w:pPr>
      <w:r>
        <w:t>企业名称：</w:t>
      </w:r>
      <w:r>
        <w:rPr>
          <w:rFonts w:hint="eastAsia"/>
          <w:u w:val="single"/>
        </w:rPr>
        <w:t xml:space="preserve"> </w:t>
      </w:r>
      <w:r>
        <w:rPr>
          <w:u w:val="single"/>
        </w:rPr>
        <w:t xml:space="preserve">          </w:t>
      </w:r>
      <w:r>
        <w:t>（加盖公章）</w:t>
      </w:r>
    </w:p>
    <w:p>
      <w:pPr>
        <w:pStyle w:val="12"/>
      </w:pPr>
    </w:p>
    <w:p>
      <w:pPr>
        <w:ind w:firstLine="4840" w:firstLineChars="2200"/>
      </w:pPr>
      <w:r>
        <w:t>日期：</w:t>
      </w:r>
      <w:r>
        <w:tab/>
      </w:r>
      <w:r>
        <w:t>年</w:t>
      </w:r>
      <w:r>
        <w:tab/>
      </w:r>
      <w:r>
        <w:t>月</w:t>
      </w:r>
      <w:r>
        <w:tab/>
      </w:r>
      <w:r>
        <w:t>日</w:t>
      </w:r>
    </w:p>
    <w:p>
      <w:pPr>
        <w:widowControl/>
        <w:autoSpaceDE/>
        <w:autoSpaceDN/>
        <w:rPr>
          <w:sz w:val="20"/>
        </w:rPr>
      </w:pPr>
      <w:r>
        <w:br w:type="page"/>
      </w:r>
    </w:p>
    <w:p>
      <w:pPr>
        <w:pStyle w:val="5"/>
        <w:jc w:val="center"/>
      </w:pPr>
      <w:r>
        <w:rPr>
          <w:rFonts w:hint="eastAsia"/>
          <w:lang w:val="en-US"/>
        </w:rPr>
        <w:t>9</w:t>
      </w:r>
      <w:r>
        <w:t>、残疾人福利性单位声明函</w:t>
      </w:r>
    </w:p>
    <w:p>
      <w:pPr>
        <w:pStyle w:val="12"/>
        <w:rPr>
          <w:b/>
          <w:sz w:val="34"/>
        </w:rPr>
      </w:pPr>
    </w:p>
    <w:p>
      <w:pPr>
        <w:pStyle w:val="12"/>
        <w:spacing w:before="9"/>
        <w:rPr>
          <w:b/>
          <w:sz w:val="27"/>
        </w:rPr>
      </w:pPr>
    </w:p>
    <w:p>
      <w:pPr>
        <w:pStyle w:val="12"/>
        <w:tabs>
          <w:tab w:val="left" w:leader="underscore" w:pos="8058"/>
        </w:tabs>
        <w:spacing w:line="458" w:lineRule="auto"/>
        <w:ind w:left="760" w:right="1009" w:firstLine="504"/>
        <w:jc w:val="both"/>
      </w:pPr>
      <w:r>
        <w:rPr>
          <w:spacing w:val="12"/>
        </w:rPr>
        <w:t>本单位郑重声明</w:t>
      </w:r>
      <w:r>
        <w:t>，</w:t>
      </w:r>
      <w:r>
        <w:rPr>
          <w:spacing w:val="12"/>
        </w:rPr>
        <w:t>根</w:t>
      </w:r>
      <w:r>
        <w:t>据</w:t>
      </w:r>
      <w:r>
        <w:rPr>
          <w:spacing w:val="12"/>
        </w:rPr>
        <w:t>《财政</w:t>
      </w:r>
      <w:r>
        <w:t>部</w:t>
      </w:r>
      <w:r>
        <w:rPr>
          <w:spacing w:val="24"/>
        </w:rPr>
        <w:t xml:space="preserve"> </w:t>
      </w:r>
      <w:r>
        <w:rPr>
          <w:spacing w:val="12"/>
        </w:rPr>
        <w:t>民政</w:t>
      </w:r>
      <w:r>
        <w:t>部</w:t>
      </w:r>
      <w:r>
        <w:rPr>
          <w:spacing w:val="25"/>
        </w:rPr>
        <w:t xml:space="preserve"> </w:t>
      </w:r>
      <w:r>
        <w:rPr>
          <w:spacing w:val="12"/>
        </w:rPr>
        <w:t>中国残疾人联合会关于促进</w:t>
      </w:r>
      <w:r>
        <w:rPr>
          <w:spacing w:val="-17"/>
        </w:rPr>
        <w:t>残</w:t>
      </w:r>
      <w:r>
        <w:rPr>
          <w:spacing w:val="16"/>
        </w:rPr>
        <w:t>疾</w:t>
      </w:r>
      <w:r>
        <w:rPr>
          <w:spacing w:val="14"/>
        </w:rPr>
        <w:t>人</w:t>
      </w:r>
      <w:r>
        <w:rPr>
          <w:spacing w:val="16"/>
        </w:rPr>
        <w:t>就业</w:t>
      </w:r>
      <w:r>
        <w:rPr>
          <w:spacing w:val="14"/>
        </w:rPr>
        <w:t>政</w:t>
      </w:r>
      <w:r>
        <w:rPr>
          <w:spacing w:val="16"/>
        </w:rPr>
        <w:t>府采购</w:t>
      </w:r>
      <w:r>
        <w:rPr>
          <w:spacing w:val="14"/>
        </w:rPr>
        <w:t>政</w:t>
      </w:r>
      <w:r>
        <w:rPr>
          <w:spacing w:val="16"/>
        </w:rPr>
        <w:t>策的</w:t>
      </w:r>
      <w:r>
        <w:rPr>
          <w:spacing w:val="14"/>
        </w:rPr>
        <w:t>通</w:t>
      </w:r>
      <w:r>
        <w:rPr>
          <w:spacing w:val="16"/>
        </w:rPr>
        <w:t>知》</w:t>
      </w:r>
      <w:r>
        <w:rPr>
          <w:spacing w:val="14"/>
        </w:rPr>
        <w:t>（</w:t>
      </w:r>
      <w:r>
        <w:rPr>
          <w:spacing w:val="16"/>
        </w:rPr>
        <w:t>财库</w:t>
      </w:r>
      <w:r>
        <w:t>〔2017</w:t>
      </w:r>
      <w:r>
        <w:rPr>
          <w:spacing w:val="4"/>
        </w:rPr>
        <w:t>〕</w:t>
      </w:r>
      <w:r>
        <w:t>141</w:t>
      </w:r>
      <w:r>
        <w:rPr>
          <w:spacing w:val="-54"/>
        </w:rPr>
        <w:t xml:space="preserve"> </w:t>
      </w:r>
      <w:r>
        <w:rPr>
          <w:spacing w:val="16"/>
        </w:rPr>
        <w:t>号</w:t>
      </w:r>
      <w:r>
        <w:rPr>
          <w:spacing w:val="14"/>
        </w:rPr>
        <w:t>）</w:t>
      </w:r>
      <w:r>
        <w:rPr>
          <w:spacing w:val="16"/>
        </w:rPr>
        <w:t>的规</w:t>
      </w:r>
      <w:r>
        <w:rPr>
          <w:spacing w:val="14"/>
        </w:rPr>
        <w:t>定</w:t>
      </w:r>
      <w:r>
        <w:rPr>
          <w:spacing w:val="16"/>
        </w:rPr>
        <w:t>，本单</w:t>
      </w:r>
      <w:r>
        <w:rPr>
          <w:spacing w:val="14"/>
        </w:rPr>
        <w:t>位</w:t>
      </w:r>
      <w:r>
        <w:t>为</w:t>
      </w:r>
      <w:r>
        <w:rPr>
          <w:spacing w:val="12"/>
        </w:rPr>
        <w:t>符合条件的残疾人福利性单位</w:t>
      </w:r>
      <w:r>
        <w:t>，</w:t>
      </w:r>
      <w:r>
        <w:rPr>
          <w:spacing w:val="12"/>
        </w:rPr>
        <w:t>且本单位参加</w:t>
      </w:r>
      <w:r>
        <w:rPr>
          <w:spacing w:val="5"/>
        </w:rPr>
        <w:t>______</w:t>
      </w:r>
      <w:r>
        <w:rPr>
          <w:spacing w:val="12"/>
        </w:rPr>
        <w:t>单位</w:t>
      </w:r>
      <w:r>
        <w:t>的</w:t>
      </w:r>
      <w:r>
        <w:tab/>
      </w:r>
      <w:r>
        <w:rPr>
          <w:spacing w:val="12"/>
        </w:rPr>
        <w:t>项目采</w:t>
      </w:r>
      <w:r>
        <w:rPr>
          <w:spacing w:val="-17"/>
        </w:rPr>
        <w:t>购</w:t>
      </w:r>
    </w:p>
    <w:p>
      <w:pPr>
        <w:pStyle w:val="12"/>
        <w:spacing w:before="2" w:line="458" w:lineRule="auto"/>
        <w:ind w:left="760" w:right="1009"/>
        <w:jc w:val="both"/>
      </w:pPr>
      <w:r>
        <w:t>活动提供本单位制造的货物（由本单位承担工程/提供服务），或者提供其他残疾人福利性单位制造的货物（不包括使用非残疾人福利性单位注册商标的货物）。</w:t>
      </w:r>
    </w:p>
    <w:p>
      <w:pPr>
        <w:pStyle w:val="12"/>
        <w:spacing w:before="2"/>
        <w:ind w:left="1052" w:right="1042"/>
        <w:jc w:val="center"/>
      </w:pPr>
      <w:r>
        <w:t>本单位对上述声明的真实性负责。如有虚假，将依法承担相应责任。</w:t>
      </w:r>
    </w:p>
    <w:p>
      <w:pPr>
        <w:pStyle w:val="12"/>
      </w:pPr>
    </w:p>
    <w:p>
      <w:pPr>
        <w:pStyle w:val="12"/>
      </w:pPr>
    </w:p>
    <w:p>
      <w:pPr>
        <w:pStyle w:val="12"/>
      </w:pPr>
    </w:p>
    <w:p>
      <w:pPr>
        <w:pStyle w:val="12"/>
      </w:pPr>
    </w:p>
    <w:p>
      <w:pPr>
        <w:pStyle w:val="12"/>
        <w:spacing w:before="8"/>
        <w:rPr>
          <w:sz w:val="17"/>
        </w:rPr>
      </w:pPr>
    </w:p>
    <w:p>
      <w:pPr>
        <w:pStyle w:val="12"/>
        <w:tabs>
          <w:tab w:val="left" w:pos="4851"/>
        </w:tabs>
        <w:spacing w:before="1" w:line="458" w:lineRule="auto"/>
        <w:ind w:left="4336" w:right="3569" w:hanging="96"/>
      </w:pPr>
      <w:r>
        <w:rPr>
          <w:spacing w:val="12"/>
        </w:rPr>
        <w:t>单位名称（盖章</w:t>
      </w:r>
      <w:r>
        <w:rPr>
          <w:spacing w:val="-4"/>
        </w:rPr>
        <w:t xml:space="preserve">）： </w:t>
      </w:r>
      <w:r>
        <w:t>日</w:t>
      </w:r>
      <w:r>
        <w:tab/>
      </w:r>
      <w:r>
        <w:rPr>
          <w:spacing w:val="12"/>
        </w:rPr>
        <w:t>期</w:t>
      </w:r>
      <w:r>
        <w:t>：</w:t>
      </w:r>
    </w:p>
    <w:p>
      <w:pPr>
        <w:spacing w:line="458" w:lineRule="auto"/>
        <w:sectPr>
          <w:footerReference r:id="rId13" w:type="default"/>
          <w:pgSz w:w="11910" w:h="16840"/>
          <w:pgMar w:top="1380" w:right="800" w:bottom="1100" w:left="1040" w:header="924" w:footer="904" w:gutter="0"/>
          <w:cols w:space="720" w:num="1"/>
        </w:sectPr>
      </w:pPr>
    </w:p>
    <w:p>
      <w:pPr>
        <w:pStyle w:val="5"/>
        <w:jc w:val="center"/>
      </w:pPr>
      <w:r>
        <w:rPr>
          <w:rFonts w:hint="eastAsia"/>
          <w:lang w:val="en-US"/>
        </w:rPr>
        <w:t>10</w:t>
      </w:r>
      <w:r>
        <w:t>、制造商（或总代理）授权书</w:t>
      </w:r>
    </w:p>
    <w:p>
      <w:pPr>
        <w:pStyle w:val="12"/>
        <w:spacing w:before="12"/>
        <w:rPr>
          <w:b/>
          <w:sz w:val="43"/>
        </w:rPr>
      </w:pPr>
    </w:p>
    <w:p>
      <w:pPr>
        <w:spacing w:line="458" w:lineRule="auto"/>
        <w:ind w:left="760" w:right="2393" w:firstLine="1392"/>
        <w:rPr>
          <w:b/>
          <w:sz w:val="24"/>
          <w:lang w:val="en-US"/>
        </w:rPr>
      </w:pPr>
      <w:r>
        <w:rPr>
          <w:sz w:val="24"/>
        </w:rPr>
        <w:t xml:space="preserve">（适用于非投标人生产投标的，若招标文件有要求） </w:t>
      </w:r>
      <w:r>
        <w:rPr>
          <w:b/>
          <w:sz w:val="24"/>
        </w:rPr>
        <w:t>致：</w:t>
      </w:r>
      <w:r>
        <w:rPr>
          <w:rFonts w:hint="eastAsia"/>
          <w:b/>
          <w:sz w:val="24"/>
          <w:lang w:val="en-US"/>
        </w:rPr>
        <w:t>中达安股份有限公司</w:t>
      </w:r>
    </w:p>
    <w:p>
      <w:pPr>
        <w:pStyle w:val="12"/>
        <w:tabs>
          <w:tab w:val="left" w:pos="6659"/>
        </w:tabs>
        <w:spacing w:line="364" w:lineRule="auto"/>
        <w:ind w:left="760" w:right="995" w:firstLine="480"/>
        <w:jc w:val="both"/>
      </w:pPr>
      <w:r>
        <w:t>我方</w:t>
      </w:r>
      <w:r>
        <w:rPr>
          <w:rFonts w:ascii="Times New Roman" w:eastAsia="Times New Roman"/>
          <w:u w:val="single"/>
        </w:rPr>
        <w:t xml:space="preserve">      </w:t>
      </w:r>
      <w:r>
        <w:rPr>
          <w:rFonts w:ascii="Times New Roman" w:eastAsia="Times New Roman"/>
          <w:spacing w:val="4"/>
          <w:u w:val="single"/>
        </w:rPr>
        <w:t xml:space="preserve"> </w:t>
      </w:r>
      <w:r>
        <w:rPr>
          <w:spacing w:val="-3"/>
          <w:u w:val="single"/>
        </w:rPr>
        <w:t>（</w:t>
      </w:r>
      <w:r>
        <w:rPr>
          <w:u w:val="single"/>
        </w:rPr>
        <w:t xml:space="preserve">制造商名称） </w:t>
      </w:r>
      <w:r>
        <w:rPr>
          <w:spacing w:val="-59"/>
          <w:u w:val="single"/>
        </w:rPr>
        <w:t xml:space="preserve"> </w:t>
      </w:r>
      <w:r>
        <w:t>是依法成立</w:t>
      </w:r>
      <w:r>
        <w:rPr>
          <w:spacing w:val="-58"/>
        </w:rPr>
        <w:t>、</w:t>
      </w:r>
      <w:r>
        <w:t>有效存续并以制</w:t>
      </w:r>
      <w:r>
        <w:rPr>
          <w:spacing w:val="-56"/>
        </w:rPr>
        <w:t>造</w:t>
      </w:r>
      <w:r>
        <w:t>（或总代理</w:t>
      </w:r>
      <w:r>
        <w:rPr>
          <w:spacing w:val="-104"/>
        </w:rPr>
        <w:t>）</w:t>
      </w:r>
      <w:r>
        <w:t>（</w:t>
      </w:r>
      <w:r>
        <w:rPr>
          <w:spacing w:val="-13"/>
        </w:rPr>
        <w:t>产</w:t>
      </w:r>
      <w:r>
        <w:t>品名称）为主的企业法人</w:t>
      </w:r>
      <w:r>
        <w:rPr>
          <w:spacing w:val="4"/>
        </w:rPr>
        <w:t xml:space="preserve"> </w:t>
      </w:r>
      <w:r>
        <w:t>，主要营业的地点设在</w:t>
      </w:r>
      <w:r>
        <w:rPr>
          <w:u w:val="single"/>
        </w:rPr>
        <w:t xml:space="preserve"> </w:t>
      </w:r>
      <w:r>
        <w:rPr>
          <w:u w:val="single"/>
        </w:rPr>
        <w:tab/>
      </w:r>
      <w:r>
        <w:rPr>
          <w:u w:val="single"/>
        </w:rPr>
        <w:t>（制造商地址）（总</w:t>
      </w:r>
      <w:r>
        <w:rPr>
          <w:spacing w:val="-14"/>
          <w:u w:val="single"/>
        </w:rPr>
        <w:t>代</w:t>
      </w:r>
      <w:r>
        <w:rPr>
          <w:spacing w:val="-220"/>
          <w:u w:val="single"/>
        </w:rPr>
        <w:t>理</w:t>
      </w:r>
      <w:r>
        <w:rPr>
          <w:u w:val="single"/>
        </w:rPr>
        <w:t>地址）</w:t>
      </w:r>
      <w:r>
        <w:rPr>
          <w:spacing w:val="99"/>
          <w:u w:val="single"/>
        </w:rPr>
        <w:t xml:space="preserve"> </w:t>
      </w:r>
      <w:r>
        <w:rPr>
          <w:spacing w:val="-24"/>
        </w:rPr>
        <w:t>。</w:t>
      </w:r>
      <w:r>
        <w:t>兹授权</w:t>
      </w:r>
      <w:r>
        <w:rPr>
          <w:u w:val="single"/>
        </w:rPr>
        <w:t xml:space="preserve"> </w:t>
      </w:r>
      <w:r>
        <w:rPr>
          <w:spacing w:val="101"/>
          <w:u w:val="single"/>
        </w:rPr>
        <w:t xml:space="preserve"> </w:t>
      </w:r>
      <w:r>
        <w:rPr>
          <w:u w:val="single"/>
        </w:rPr>
        <w:t xml:space="preserve">（投标人名称） </w:t>
      </w:r>
      <w:r>
        <w:rPr>
          <w:spacing w:val="99"/>
          <w:u w:val="single"/>
        </w:rPr>
        <w:t xml:space="preserve"> </w:t>
      </w:r>
      <w:r>
        <w:t>作为我方真正的合法代理人进行下列活动：</w:t>
      </w:r>
    </w:p>
    <w:p>
      <w:pPr>
        <w:pStyle w:val="12"/>
        <w:tabs>
          <w:tab w:val="left" w:pos="6699"/>
          <w:tab w:val="left" w:pos="8859"/>
        </w:tabs>
        <w:spacing w:line="364" w:lineRule="auto"/>
        <w:ind w:left="760" w:right="965" w:firstLine="420"/>
        <w:jc w:val="both"/>
      </w:pPr>
      <w:r>
        <w:t>1、代表我方办理贵方采购项目名称为</w:t>
      </w:r>
      <w:r>
        <w:rPr>
          <w:u w:val="single"/>
        </w:rPr>
        <w:t xml:space="preserve"> </w:t>
      </w:r>
      <w:r>
        <w:rPr>
          <w:u w:val="single"/>
        </w:rPr>
        <w:tab/>
      </w:r>
      <w:r>
        <w:t>（项目编号：</w:t>
      </w:r>
      <w:r>
        <w:rPr>
          <w:u w:val="single"/>
        </w:rPr>
        <w:t xml:space="preserve"> </w:t>
      </w:r>
      <w:r>
        <w:rPr>
          <w:u w:val="single"/>
        </w:rPr>
        <w:tab/>
      </w:r>
      <w:r>
        <w:rPr>
          <w:spacing w:val="-18"/>
        </w:rPr>
        <w:t xml:space="preserve">） </w:t>
      </w:r>
      <w:r>
        <w:t>的招标文件要求提供的由我方制</w:t>
      </w:r>
      <w:r>
        <w:rPr>
          <w:spacing w:val="-24"/>
        </w:rPr>
        <w:t>造</w:t>
      </w:r>
      <w:r>
        <w:t>（或总代理</w:t>
      </w:r>
      <w:r>
        <w:rPr>
          <w:spacing w:val="-22"/>
        </w:rPr>
        <w:t>）</w:t>
      </w:r>
      <w:r>
        <w:t>的</w:t>
      </w:r>
      <w:r>
        <w:rPr>
          <w:u w:val="single"/>
        </w:rPr>
        <w:t xml:space="preserve"> </w:t>
      </w:r>
      <w:r>
        <w:rPr>
          <w:spacing w:val="95"/>
          <w:u w:val="single"/>
        </w:rPr>
        <w:t xml:space="preserve"> </w:t>
      </w:r>
      <w:r>
        <w:rPr>
          <w:u w:val="single"/>
        </w:rPr>
        <w:t xml:space="preserve">（投标人名称）  </w:t>
      </w:r>
      <w:r>
        <w:rPr>
          <w:spacing w:val="95"/>
          <w:u w:val="single"/>
        </w:rPr>
        <w:t xml:space="preserve"> </w:t>
      </w:r>
      <w:r>
        <w:t>的有关事宜，并对我方具有约束力。</w:t>
      </w:r>
    </w:p>
    <w:p>
      <w:pPr>
        <w:pStyle w:val="12"/>
        <w:spacing w:line="362" w:lineRule="auto"/>
        <w:ind w:left="760" w:right="997" w:firstLine="420"/>
      </w:pPr>
      <w:r>
        <w:t>2、作为制造商，我方保证以投标人合作者身份来约束自己，并对该投标响应共同和分别负责。</w:t>
      </w:r>
    </w:p>
    <w:p>
      <w:pPr>
        <w:pStyle w:val="12"/>
        <w:spacing w:before="1" w:line="364" w:lineRule="auto"/>
        <w:ind w:left="760" w:right="997" w:firstLine="420"/>
        <w:jc w:val="both"/>
      </w:pPr>
      <w:r>
        <w:t>3、我方兹授权</w:t>
      </w:r>
      <w:r>
        <w:rPr>
          <w:spacing w:val="103"/>
          <w:u w:val="single"/>
        </w:rPr>
        <w:t xml:space="preserve"> </w:t>
      </w:r>
      <w:r>
        <w:rPr>
          <w:u w:val="single"/>
        </w:rPr>
        <w:t>（投标人名称）</w:t>
      </w:r>
      <w:r>
        <w:rPr>
          <w:spacing w:val="102"/>
          <w:u w:val="single"/>
        </w:rPr>
        <w:t xml:space="preserve"> </w:t>
      </w:r>
      <w:r>
        <w:rPr>
          <w:spacing w:val="-1"/>
        </w:rPr>
        <w:t>全权办理和履行此项目招标文件中规定</w:t>
      </w:r>
      <w:r>
        <w:rPr>
          <w:spacing w:val="-6"/>
        </w:rPr>
        <w:t>的一切事宜。兹确认</w:t>
      </w:r>
      <w:r>
        <w:rPr>
          <w:spacing w:val="88"/>
          <w:u w:val="single"/>
        </w:rPr>
        <w:t xml:space="preserve"> </w:t>
      </w:r>
      <w:r>
        <w:rPr>
          <w:u w:val="single"/>
        </w:rPr>
        <w:t>（投标人名称）</w:t>
      </w:r>
      <w:r>
        <w:rPr>
          <w:spacing w:val="44"/>
          <w:u w:val="single"/>
        </w:rPr>
        <w:t xml:space="preserve">  </w:t>
      </w:r>
      <w:r>
        <w:rPr>
          <w:spacing w:val="-1"/>
        </w:rPr>
        <w:t>及其正式授权代表依此办理一切合法</w:t>
      </w:r>
      <w:r>
        <w:t>事宜。</w:t>
      </w:r>
    </w:p>
    <w:p>
      <w:pPr>
        <w:pStyle w:val="12"/>
        <w:spacing w:line="362" w:lineRule="auto"/>
        <w:ind w:left="760" w:right="997" w:firstLine="420"/>
      </w:pPr>
      <w:r>
        <w:t>4、授权有效期为本授权书签署生效之日起至该项目的采购合同履行完毕止，若投标人未中标，其有效期至该项目招投标活动结束时自动终止。</w:t>
      </w:r>
    </w:p>
    <w:p>
      <w:pPr>
        <w:pStyle w:val="12"/>
        <w:tabs>
          <w:tab w:val="left" w:pos="2979"/>
          <w:tab w:val="left" w:pos="7866"/>
        </w:tabs>
        <w:spacing w:before="4" w:line="364" w:lineRule="auto"/>
        <w:ind w:left="760" w:right="997" w:firstLine="420"/>
      </w:pPr>
      <w:r>
        <w:t>5、我方于</w:t>
      </w:r>
      <w:r>
        <w:rPr>
          <w:u w:val="single"/>
        </w:rPr>
        <w:t xml:space="preserve"> </w:t>
      </w:r>
      <w:r>
        <w:rPr>
          <w:u w:val="single"/>
        </w:rPr>
        <w:tab/>
      </w:r>
      <w:r>
        <w:t>年</w:t>
      </w:r>
      <w:r>
        <w:rPr>
          <w:spacing w:val="119"/>
          <w:u w:val="single"/>
        </w:rPr>
        <w:t xml:space="preserve"> </w:t>
      </w:r>
      <w:r>
        <w:t>月</w:t>
      </w:r>
      <w:r>
        <w:rPr>
          <w:u w:val="single"/>
        </w:rPr>
        <w:t xml:space="preserve">  </w:t>
      </w:r>
      <w:r>
        <w:t>日签署本文件</w:t>
      </w:r>
      <w:r>
        <w:rPr>
          <w:spacing w:val="8"/>
        </w:rPr>
        <w:t>，</w:t>
      </w:r>
      <w:r>
        <w:rPr>
          <w:spacing w:val="8"/>
          <w:u w:val="single"/>
        </w:rPr>
        <w:t>（</w:t>
      </w:r>
      <w:r>
        <w:rPr>
          <w:u w:val="single"/>
        </w:rPr>
        <w:t>投标人名称</w:t>
      </w:r>
      <w:r>
        <w:rPr>
          <w:spacing w:val="-51"/>
          <w:u w:val="single"/>
        </w:rPr>
        <w:t>）</w:t>
      </w:r>
      <w:r>
        <w:t>于</w:t>
      </w:r>
      <w:r>
        <w:rPr>
          <w:u w:val="single"/>
        </w:rPr>
        <w:t xml:space="preserve"> </w:t>
      </w:r>
      <w:r>
        <w:rPr>
          <w:u w:val="single"/>
        </w:rPr>
        <w:tab/>
      </w:r>
      <w:r>
        <w:t>年</w:t>
      </w:r>
      <w:r>
        <w:rPr>
          <w:u w:val="single"/>
        </w:rPr>
        <w:t xml:space="preserve"> </w:t>
      </w:r>
      <w:r>
        <w:t>月</w:t>
      </w:r>
      <w:r>
        <w:rPr>
          <w:spacing w:val="118"/>
          <w:u w:val="single"/>
        </w:rPr>
        <w:t xml:space="preserve"> </w:t>
      </w:r>
      <w:r>
        <w:rPr>
          <w:spacing w:val="-15"/>
        </w:rPr>
        <w:t>日</w:t>
      </w:r>
      <w:r>
        <w:t>接受此文件。</w:t>
      </w:r>
    </w:p>
    <w:p>
      <w:pPr>
        <w:pStyle w:val="12"/>
      </w:pPr>
    </w:p>
    <w:p>
      <w:pPr>
        <w:pStyle w:val="12"/>
        <w:spacing w:before="157"/>
        <w:ind w:left="760"/>
      </w:pPr>
      <w:r>
        <w:t>授权制造厂（总代理商）名称（盖章）:</w:t>
      </w:r>
    </w:p>
    <w:p>
      <w:pPr>
        <w:pStyle w:val="12"/>
        <w:spacing w:before="161"/>
        <w:ind w:left="760"/>
      </w:pPr>
      <w:r>
        <w:t>法定代表人（或授权代表）（签字）：</w:t>
      </w:r>
    </w:p>
    <w:p>
      <w:pPr>
        <w:pStyle w:val="12"/>
      </w:pPr>
    </w:p>
    <w:p>
      <w:pPr>
        <w:pStyle w:val="12"/>
        <w:spacing w:before="11"/>
      </w:pPr>
    </w:p>
    <w:p>
      <w:pPr>
        <w:pStyle w:val="12"/>
        <w:ind w:left="760"/>
      </w:pPr>
      <w:r>
        <w:t>投标人名称（盖章）：</w:t>
      </w:r>
    </w:p>
    <w:p>
      <w:pPr>
        <w:pStyle w:val="12"/>
        <w:spacing w:before="160"/>
        <w:ind w:left="760"/>
      </w:pPr>
      <w:r>
        <w:t>法定代表人（或授权代表）（签字）：</w:t>
      </w:r>
    </w:p>
    <w:p>
      <w:pPr>
        <w:pStyle w:val="12"/>
      </w:pPr>
    </w:p>
    <w:p>
      <w:pPr>
        <w:pStyle w:val="12"/>
      </w:pPr>
    </w:p>
    <w:p>
      <w:pPr>
        <w:pStyle w:val="12"/>
      </w:pPr>
    </w:p>
    <w:p>
      <w:pPr>
        <w:pStyle w:val="12"/>
        <w:tabs>
          <w:tab w:val="left" w:pos="599"/>
          <w:tab w:val="left" w:pos="1199"/>
        </w:tabs>
        <w:spacing w:before="169"/>
        <w:ind w:right="1559"/>
        <w:jc w:val="right"/>
      </w:pPr>
      <w:r>
        <w:t>年</w:t>
      </w:r>
      <w:r>
        <w:tab/>
      </w:r>
      <w:r>
        <w:t>月</w:t>
      </w:r>
      <w:r>
        <w:tab/>
      </w:r>
      <w:r>
        <w:t>日</w:t>
      </w:r>
    </w:p>
    <w:p>
      <w:pPr>
        <w:rPr>
          <w:lang w:val="en-US"/>
        </w:rPr>
      </w:pPr>
    </w:p>
    <w:p>
      <w:pPr>
        <w:pStyle w:val="5"/>
        <w:tabs>
          <w:tab w:val="left" w:pos="851"/>
        </w:tabs>
        <w:ind w:left="0"/>
        <w:jc w:val="center"/>
      </w:pPr>
      <w:r>
        <w:rPr>
          <w:rFonts w:hint="eastAsia"/>
          <w:lang w:val="en-US"/>
        </w:rPr>
        <w:t>11</w:t>
      </w:r>
      <w:r>
        <w:rPr>
          <w:rFonts w:hint="eastAsia"/>
        </w:rPr>
        <w:t>、投标人认为应提交的其他资料</w:t>
      </w:r>
    </w:p>
    <w:p/>
    <w:p>
      <w:pPr>
        <w:pStyle w:val="2"/>
        <w:ind w:firstLine="400"/>
      </w:pPr>
    </w:p>
    <w:p>
      <w:pPr>
        <w:ind w:firstLine="440" w:firstLineChars="200"/>
      </w:pPr>
      <w:r>
        <w:rPr>
          <w:rFonts w:hint="eastAsia"/>
        </w:rPr>
        <w:t>本招标文件要求的，且未在“招标文件格式”中体现的内容，如符合性、资格性检查表及商务部分、技术部分评分表中需要审核的资料。</w:t>
      </w:r>
    </w:p>
    <w:p>
      <w:r>
        <w:rPr>
          <w:rFonts w:hint="eastAsia"/>
        </w:rPr>
        <w:br w:type="page"/>
      </w:r>
    </w:p>
    <w:p>
      <w:pPr>
        <w:pStyle w:val="4"/>
        <w:ind w:firstLine="482"/>
      </w:pPr>
      <w:bookmarkStart w:id="132" w:name="_Toc17174"/>
      <w:r>
        <w:rPr>
          <w:rFonts w:hint="eastAsia"/>
        </w:rPr>
        <w:t>第四部分：技术部分</w:t>
      </w:r>
      <w:bookmarkEnd w:id="132"/>
    </w:p>
    <w:p>
      <w:pPr>
        <w:pStyle w:val="5"/>
      </w:pPr>
      <w:r>
        <w:rPr>
          <w:rFonts w:ascii="Calibri" w:eastAsia="Calibri"/>
        </w:rPr>
        <w:t>1</w:t>
      </w:r>
      <w:r>
        <w:t>、货物说明一览表</w:t>
      </w:r>
    </w:p>
    <w:p>
      <w:pPr>
        <w:pStyle w:val="12"/>
        <w:spacing w:before="8"/>
        <w:rPr>
          <w:b/>
          <w:sz w:val="28"/>
        </w:rPr>
      </w:pPr>
    </w:p>
    <w:tbl>
      <w:tblPr>
        <w:tblStyle w:val="19"/>
        <w:tblW w:w="0" w:type="auto"/>
        <w:tblInd w:w="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4"/>
        <w:gridCol w:w="2295"/>
        <w:gridCol w:w="1290"/>
        <w:gridCol w:w="1830"/>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4" w:type="dxa"/>
            <w:shd w:val="clear" w:color="auto" w:fill="D6D6D6"/>
          </w:tcPr>
          <w:p>
            <w:pPr>
              <w:pStyle w:val="23"/>
              <w:spacing w:before="12"/>
              <w:rPr>
                <w:b/>
                <w:sz w:val="16"/>
              </w:rPr>
            </w:pPr>
          </w:p>
          <w:p>
            <w:pPr>
              <w:pStyle w:val="23"/>
              <w:spacing w:before="1"/>
              <w:ind w:left="482"/>
              <w:rPr>
                <w:b/>
                <w:sz w:val="24"/>
              </w:rPr>
            </w:pPr>
            <w:r>
              <w:rPr>
                <w:b/>
                <w:sz w:val="24"/>
              </w:rPr>
              <w:t>货物名称</w:t>
            </w:r>
          </w:p>
        </w:tc>
        <w:tc>
          <w:tcPr>
            <w:tcW w:w="2295" w:type="dxa"/>
            <w:shd w:val="clear" w:color="auto" w:fill="D6D6D6"/>
          </w:tcPr>
          <w:p>
            <w:pPr>
              <w:pStyle w:val="23"/>
              <w:spacing w:before="12"/>
              <w:rPr>
                <w:b/>
                <w:sz w:val="16"/>
              </w:rPr>
            </w:pPr>
          </w:p>
          <w:p>
            <w:pPr>
              <w:pStyle w:val="23"/>
              <w:spacing w:before="1"/>
              <w:ind w:left="547"/>
              <w:rPr>
                <w:b/>
                <w:sz w:val="24"/>
              </w:rPr>
            </w:pPr>
            <w:r>
              <w:rPr>
                <w:b/>
                <w:sz w:val="24"/>
              </w:rPr>
              <w:t>规格及型号</w:t>
            </w:r>
          </w:p>
        </w:tc>
        <w:tc>
          <w:tcPr>
            <w:tcW w:w="1290" w:type="dxa"/>
            <w:shd w:val="clear" w:color="auto" w:fill="D6D6D6"/>
          </w:tcPr>
          <w:p>
            <w:pPr>
              <w:pStyle w:val="23"/>
              <w:spacing w:before="12"/>
              <w:rPr>
                <w:b/>
                <w:sz w:val="16"/>
              </w:rPr>
            </w:pPr>
          </w:p>
          <w:p>
            <w:pPr>
              <w:pStyle w:val="23"/>
              <w:spacing w:before="1"/>
              <w:ind w:left="405"/>
              <w:rPr>
                <w:b/>
                <w:sz w:val="24"/>
              </w:rPr>
            </w:pPr>
            <w:r>
              <w:rPr>
                <w:b/>
                <w:sz w:val="24"/>
              </w:rPr>
              <w:t>数量</w:t>
            </w:r>
          </w:p>
        </w:tc>
        <w:tc>
          <w:tcPr>
            <w:tcW w:w="1830" w:type="dxa"/>
            <w:shd w:val="clear" w:color="auto" w:fill="D6D6D6"/>
          </w:tcPr>
          <w:p>
            <w:pPr>
              <w:pStyle w:val="23"/>
              <w:spacing w:before="12"/>
              <w:rPr>
                <w:b/>
                <w:sz w:val="16"/>
              </w:rPr>
            </w:pPr>
          </w:p>
          <w:p>
            <w:pPr>
              <w:pStyle w:val="23"/>
              <w:spacing w:before="1"/>
              <w:ind w:left="555"/>
              <w:rPr>
                <w:b/>
                <w:sz w:val="24"/>
              </w:rPr>
            </w:pPr>
            <w:r>
              <w:rPr>
                <w:b/>
                <w:sz w:val="24"/>
              </w:rPr>
              <w:t>交货期</w:t>
            </w:r>
          </w:p>
        </w:tc>
        <w:tc>
          <w:tcPr>
            <w:tcW w:w="1446" w:type="dxa"/>
            <w:shd w:val="clear" w:color="auto" w:fill="D6D6D6"/>
          </w:tcPr>
          <w:p>
            <w:pPr>
              <w:pStyle w:val="23"/>
              <w:spacing w:before="160"/>
              <w:ind w:left="482"/>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24" w:type="dxa"/>
          </w:tcPr>
          <w:p>
            <w:pPr>
              <w:pStyle w:val="23"/>
              <w:rPr>
                <w:rFonts w:ascii="Times New Roman"/>
              </w:rPr>
            </w:pPr>
          </w:p>
        </w:tc>
        <w:tc>
          <w:tcPr>
            <w:tcW w:w="2295" w:type="dxa"/>
          </w:tcPr>
          <w:p>
            <w:pPr>
              <w:pStyle w:val="23"/>
              <w:rPr>
                <w:rFonts w:ascii="Times New Roman"/>
              </w:rPr>
            </w:pPr>
          </w:p>
        </w:tc>
        <w:tc>
          <w:tcPr>
            <w:tcW w:w="1290" w:type="dxa"/>
          </w:tcPr>
          <w:p>
            <w:pPr>
              <w:pStyle w:val="23"/>
              <w:rPr>
                <w:rFonts w:ascii="Times New Roman"/>
              </w:rPr>
            </w:pPr>
          </w:p>
        </w:tc>
        <w:tc>
          <w:tcPr>
            <w:tcW w:w="1830" w:type="dxa"/>
          </w:tcPr>
          <w:p>
            <w:pPr>
              <w:pStyle w:val="23"/>
              <w:rPr>
                <w:rFonts w:ascii="Times New Roman"/>
              </w:rPr>
            </w:pPr>
          </w:p>
        </w:tc>
        <w:tc>
          <w:tcPr>
            <w:tcW w:w="1446" w:type="dxa"/>
          </w:tcPr>
          <w:p>
            <w:pPr>
              <w:pStyle w:val="23"/>
              <w:rPr>
                <w:rFonts w:ascii="Times New Roman"/>
              </w:rPr>
            </w:pPr>
          </w:p>
        </w:tc>
      </w:tr>
    </w:tbl>
    <w:p>
      <w:pPr>
        <w:pStyle w:val="12"/>
        <w:spacing w:before="152"/>
        <w:ind w:left="760"/>
      </w:pPr>
      <w:r>
        <w:t>注：请投标人提供附以下材料，包括但不限于：</w:t>
      </w:r>
    </w:p>
    <w:p>
      <w:pPr>
        <w:pStyle w:val="12"/>
        <w:spacing w:before="166" w:line="312" w:lineRule="auto"/>
        <w:ind w:left="760" w:right="823" w:firstLine="420"/>
      </w:pPr>
      <w:r>
        <w:t>1、设备技术性能条件说明和有关资料，包括产品技术性能说明书（中文）、检测报告及图片、系统软件操作简介等相关证明文件。</w:t>
      </w:r>
    </w:p>
    <w:p>
      <w:pPr>
        <w:pStyle w:val="12"/>
        <w:spacing w:before="71"/>
        <w:ind w:left="1180"/>
      </w:pPr>
      <w:r>
        <w:t>2、货物清单包括备品备件、专用工具及软件等。</w:t>
      </w:r>
    </w:p>
    <w:p>
      <w:pPr>
        <w:pStyle w:val="12"/>
        <w:spacing w:before="166" w:line="312" w:lineRule="auto"/>
        <w:ind w:left="760" w:right="823" w:firstLine="420"/>
      </w:pPr>
      <w:r>
        <w:t>3、如本表格式内容不能满足需要，投标人可根据本表格格式自行划表填写， 但必须体现以上内容。</w:t>
      </w:r>
    </w:p>
    <w:p>
      <w:pPr>
        <w:pStyle w:val="12"/>
      </w:pPr>
    </w:p>
    <w:p>
      <w:pPr>
        <w:pStyle w:val="12"/>
      </w:pPr>
    </w:p>
    <w:p>
      <w:pPr>
        <w:pStyle w:val="12"/>
      </w:pPr>
    </w:p>
    <w:p>
      <w:pPr>
        <w:pStyle w:val="12"/>
        <w:spacing w:before="4"/>
        <w:rPr>
          <w:sz w:val="17"/>
        </w:rPr>
      </w:pPr>
    </w:p>
    <w:p>
      <w:pPr>
        <w:pStyle w:val="12"/>
        <w:ind w:left="4338"/>
      </w:pPr>
      <w:r>
        <w:t>投标人名称（加盖公章）：</w:t>
      </w:r>
    </w:p>
    <w:p>
      <w:pPr>
        <w:pStyle w:val="12"/>
        <w:spacing w:before="4"/>
        <w:rPr>
          <w:sz w:val="30"/>
        </w:rPr>
      </w:pPr>
    </w:p>
    <w:p>
      <w:pPr>
        <w:pStyle w:val="12"/>
        <w:tabs>
          <w:tab w:val="left" w:pos="5418"/>
          <w:tab w:val="left" w:pos="6018"/>
          <w:tab w:val="left" w:pos="6618"/>
        </w:tabs>
        <w:spacing w:line="602" w:lineRule="auto"/>
        <w:ind w:left="4338" w:right="1165"/>
        <w:sectPr>
          <w:footerReference r:id="rId14" w:type="default"/>
          <w:pgSz w:w="11910" w:h="16840"/>
          <w:pgMar w:top="1380" w:right="800" w:bottom="1260" w:left="1040" w:header="924" w:footer="1074" w:gutter="0"/>
          <w:cols w:space="720" w:num="1"/>
        </w:sectPr>
      </w:pPr>
      <w:r>
        <w:t>投标人法定代表人或其授权代表（签字</w:t>
      </w:r>
      <w:r>
        <w:rPr>
          <w:spacing w:val="-9"/>
        </w:rPr>
        <w:t xml:space="preserve">）： </w:t>
      </w:r>
      <w:r>
        <w:t>日期：</w:t>
      </w:r>
      <w:r>
        <w:tab/>
      </w:r>
      <w:r>
        <w:t>年</w:t>
      </w:r>
      <w:r>
        <w:tab/>
      </w:r>
      <w:r>
        <w:t>月</w:t>
      </w:r>
      <w:r>
        <w:tab/>
      </w:r>
      <w:r>
        <w:t>日</w:t>
      </w:r>
    </w:p>
    <w:p>
      <w:pPr>
        <w:pStyle w:val="5"/>
        <w:ind w:left="0"/>
      </w:pPr>
      <w:r>
        <w:rPr>
          <w:rFonts w:ascii="Calibri" w:eastAsia="Calibri"/>
        </w:rPr>
        <w:t>2</w:t>
      </w:r>
      <w:r>
        <w:t>、技术条款响应表</w:t>
      </w:r>
    </w:p>
    <w:p>
      <w:pPr>
        <w:pStyle w:val="12"/>
        <w:spacing w:before="2"/>
        <w:rPr>
          <w:b/>
          <w:sz w:val="39"/>
        </w:rPr>
      </w:pPr>
    </w:p>
    <w:p>
      <w:pPr>
        <w:jc w:val="center"/>
        <w:rPr>
          <w:b/>
          <w:bCs/>
          <w:sz w:val="24"/>
          <w:szCs w:val="24"/>
        </w:rPr>
      </w:pPr>
      <w:r>
        <w:rPr>
          <w:b/>
          <w:bCs/>
          <w:sz w:val="24"/>
          <w:szCs w:val="24"/>
        </w:rPr>
        <w:t>技术条款响应表</w:t>
      </w:r>
    </w:p>
    <w:p>
      <w:pPr>
        <w:pStyle w:val="12"/>
        <w:spacing w:before="11"/>
        <w:rPr>
          <w:b/>
          <w:sz w:val="15"/>
        </w:rPr>
      </w:pPr>
    </w:p>
    <w:tbl>
      <w:tblPr>
        <w:tblStyle w:val="19"/>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2067"/>
        <w:gridCol w:w="2985"/>
        <w:gridCol w:w="1905"/>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vMerge w:val="restart"/>
            <w:shd w:val="clear" w:color="auto" w:fill="D6D6D6"/>
          </w:tcPr>
          <w:p>
            <w:pPr>
              <w:pStyle w:val="23"/>
              <w:spacing w:line="470" w:lineRule="atLeast"/>
              <w:ind w:right="267"/>
              <w:rPr>
                <w:b/>
                <w:sz w:val="24"/>
              </w:rPr>
            </w:pPr>
            <w:r>
              <w:rPr>
                <w:b/>
                <w:sz w:val="24"/>
              </w:rPr>
              <w:t>序号</w:t>
            </w:r>
          </w:p>
        </w:tc>
        <w:tc>
          <w:tcPr>
            <w:tcW w:w="2067" w:type="dxa"/>
            <w:vMerge w:val="restart"/>
            <w:shd w:val="clear" w:color="auto" w:fill="D6D6D6"/>
            <w:vAlign w:val="center"/>
          </w:tcPr>
          <w:p>
            <w:pPr>
              <w:pStyle w:val="23"/>
              <w:spacing w:before="153"/>
              <w:ind w:left="313"/>
              <w:jc w:val="center"/>
              <w:rPr>
                <w:b/>
                <w:sz w:val="24"/>
              </w:rPr>
            </w:pPr>
            <w:r>
              <w:rPr>
                <w:b/>
                <w:sz w:val="24"/>
              </w:rPr>
              <w:t>招标文件要求</w:t>
            </w:r>
          </w:p>
        </w:tc>
        <w:tc>
          <w:tcPr>
            <w:tcW w:w="2985" w:type="dxa"/>
            <w:vMerge w:val="restart"/>
            <w:shd w:val="clear" w:color="auto" w:fill="D6D6D6"/>
            <w:vAlign w:val="center"/>
          </w:tcPr>
          <w:p>
            <w:pPr>
              <w:pStyle w:val="23"/>
              <w:spacing w:before="116"/>
              <w:ind w:left="630" w:right="618"/>
              <w:jc w:val="center"/>
              <w:rPr>
                <w:b/>
                <w:sz w:val="24"/>
              </w:rPr>
            </w:pPr>
            <w:r>
              <w:rPr>
                <w:b/>
                <w:sz w:val="24"/>
              </w:rPr>
              <w:t>投标人响应描述</w:t>
            </w:r>
          </w:p>
        </w:tc>
        <w:tc>
          <w:tcPr>
            <w:tcW w:w="1905" w:type="dxa"/>
            <w:vMerge w:val="restart"/>
            <w:shd w:val="clear" w:color="auto" w:fill="D6D6D6"/>
          </w:tcPr>
          <w:p>
            <w:pPr>
              <w:pStyle w:val="23"/>
              <w:rPr>
                <w:b/>
                <w:sz w:val="24"/>
              </w:rPr>
            </w:pPr>
          </w:p>
          <w:p>
            <w:pPr>
              <w:pStyle w:val="23"/>
              <w:ind w:left="231"/>
              <w:rPr>
                <w:b/>
                <w:sz w:val="24"/>
              </w:rPr>
            </w:pPr>
            <w:r>
              <w:rPr>
                <w:b/>
                <w:sz w:val="24"/>
              </w:rPr>
              <w:t>偏离情况说明</w:t>
            </w:r>
          </w:p>
          <w:p>
            <w:pPr>
              <w:pStyle w:val="23"/>
              <w:spacing w:before="5" w:line="242" w:lineRule="auto"/>
              <w:ind w:left="291" w:right="156" w:hanging="120"/>
              <w:rPr>
                <w:b/>
                <w:sz w:val="24"/>
              </w:rPr>
            </w:pPr>
            <w:r>
              <w:rPr>
                <w:b/>
                <w:sz w:val="24"/>
              </w:rPr>
              <w:t>（无偏离/正偏离/负偏离）</w:t>
            </w:r>
          </w:p>
        </w:tc>
        <w:tc>
          <w:tcPr>
            <w:tcW w:w="937" w:type="dxa"/>
            <w:tcBorders>
              <w:bottom w:val="nil"/>
            </w:tcBorders>
            <w:shd w:val="clear" w:color="auto" w:fill="D6D6D6"/>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27" w:type="dxa"/>
            <w:vMerge w:val="continue"/>
            <w:tcBorders>
              <w:top w:val="nil"/>
            </w:tcBorders>
            <w:shd w:val="clear" w:color="auto" w:fill="D6D6D6"/>
          </w:tcPr>
          <w:p>
            <w:pPr>
              <w:rPr>
                <w:sz w:val="2"/>
                <w:szCs w:val="2"/>
              </w:rPr>
            </w:pPr>
          </w:p>
        </w:tc>
        <w:tc>
          <w:tcPr>
            <w:tcW w:w="2067" w:type="dxa"/>
            <w:vMerge w:val="continue"/>
            <w:shd w:val="clear" w:color="auto" w:fill="D6D6D6"/>
          </w:tcPr>
          <w:p>
            <w:pPr>
              <w:pStyle w:val="23"/>
              <w:spacing w:before="153"/>
              <w:ind w:left="313"/>
              <w:rPr>
                <w:b/>
                <w:sz w:val="24"/>
              </w:rPr>
            </w:pPr>
          </w:p>
        </w:tc>
        <w:tc>
          <w:tcPr>
            <w:tcW w:w="2985" w:type="dxa"/>
            <w:vMerge w:val="continue"/>
            <w:shd w:val="clear" w:color="auto" w:fill="D6D6D6"/>
          </w:tcPr>
          <w:p>
            <w:pPr>
              <w:pStyle w:val="23"/>
              <w:spacing w:before="30" w:line="310" w:lineRule="atLeast"/>
              <w:ind w:left="171" w:right="152" w:firstLine="60"/>
              <w:rPr>
                <w:b/>
                <w:sz w:val="24"/>
              </w:rPr>
            </w:pPr>
          </w:p>
        </w:tc>
        <w:tc>
          <w:tcPr>
            <w:tcW w:w="1905" w:type="dxa"/>
            <w:vMerge w:val="continue"/>
            <w:tcBorders>
              <w:top w:val="nil"/>
            </w:tcBorders>
            <w:shd w:val="clear" w:color="auto" w:fill="D6D6D6"/>
          </w:tcPr>
          <w:p>
            <w:pPr>
              <w:rPr>
                <w:sz w:val="2"/>
                <w:szCs w:val="2"/>
              </w:rPr>
            </w:pPr>
          </w:p>
        </w:tc>
        <w:tc>
          <w:tcPr>
            <w:tcW w:w="937" w:type="dxa"/>
            <w:tcBorders>
              <w:top w:val="nil"/>
              <w:bottom w:val="nil"/>
            </w:tcBorders>
            <w:shd w:val="clear" w:color="auto" w:fill="D6D6D6"/>
          </w:tcPr>
          <w:p>
            <w:pPr>
              <w:pStyle w:val="23"/>
              <w:spacing w:before="153"/>
              <w:ind w:left="227"/>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27" w:type="dxa"/>
            <w:vMerge w:val="continue"/>
            <w:tcBorders>
              <w:top w:val="nil"/>
            </w:tcBorders>
            <w:shd w:val="clear" w:color="auto" w:fill="D6D6D6"/>
          </w:tcPr>
          <w:p>
            <w:pPr>
              <w:rPr>
                <w:sz w:val="2"/>
                <w:szCs w:val="2"/>
              </w:rPr>
            </w:pPr>
          </w:p>
        </w:tc>
        <w:tc>
          <w:tcPr>
            <w:tcW w:w="2067" w:type="dxa"/>
            <w:vMerge w:val="continue"/>
            <w:shd w:val="clear" w:color="auto" w:fill="D6D6D6"/>
          </w:tcPr>
          <w:p>
            <w:pPr>
              <w:pStyle w:val="23"/>
              <w:rPr>
                <w:rFonts w:ascii="Times New Roman"/>
              </w:rPr>
            </w:pPr>
          </w:p>
        </w:tc>
        <w:tc>
          <w:tcPr>
            <w:tcW w:w="2985" w:type="dxa"/>
            <w:vMerge w:val="continue"/>
            <w:shd w:val="clear" w:color="auto" w:fill="D6D6D6"/>
          </w:tcPr>
          <w:p>
            <w:pPr>
              <w:pStyle w:val="23"/>
              <w:spacing w:line="305" w:lineRule="exact"/>
              <w:ind w:right="618"/>
              <w:jc w:val="both"/>
              <w:rPr>
                <w:b/>
                <w:sz w:val="24"/>
              </w:rPr>
            </w:pPr>
          </w:p>
        </w:tc>
        <w:tc>
          <w:tcPr>
            <w:tcW w:w="1905" w:type="dxa"/>
            <w:vMerge w:val="continue"/>
            <w:tcBorders>
              <w:top w:val="nil"/>
            </w:tcBorders>
            <w:shd w:val="clear" w:color="auto" w:fill="D6D6D6"/>
          </w:tcPr>
          <w:p>
            <w:pPr>
              <w:rPr>
                <w:sz w:val="2"/>
                <w:szCs w:val="2"/>
              </w:rPr>
            </w:pPr>
          </w:p>
        </w:tc>
        <w:tc>
          <w:tcPr>
            <w:tcW w:w="937" w:type="dxa"/>
            <w:tcBorders>
              <w:top w:val="nil"/>
            </w:tcBorders>
            <w:shd w:val="clear" w:color="auto" w:fill="D6D6D6"/>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27" w:type="dxa"/>
          </w:tcPr>
          <w:p>
            <w:pPr>
              <w:pStyle w:val="23"/>
              <w:spacing w:before="75"/>
              <w:ind w:left="251"/>
              <w:rPr>
                <w:sz w:val="24"/>
              </w:rPr>
            </w:pPr>
            <w:r>
              <w:rPr>
                <w:sz w:val="24"/>
              </w:rPr>
              <w:t>1</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4"/>
              <w:ind w:left="251"/>
              <w:rPr>
                <w:sz w:val="24"/>
              </w:rPr>
            </w:pPr>
            <w:r>
              <w:rPr>
                <w:sz w:val="24"/>
              </w:rPr>
              <w:t>2</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4"/>
              <w:ind w:left="251"/>
              <w:rPr>
                <w:sz w:val="24"/>
              </w:rPr>
            </w:pPr>
            <w:r>
              <w:rPr>
                <w:sz w:val="24"/>
              </w:rPr>
              <w:t>3</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27" w:type="dxa"/>
          </w:tcPr>
          <w:p>
            <w:pPr>
              <w:pStyle w:val="23"/>
              <w:spacing w:before="76"/>
              <w:ind w:left="251"/>
              <w:rPr>
                <w:sz w:val="24"/>
              </w:rPr>
            </w:pPr>
            <w:r>
              <w:rPr>
                <w:sz w:val="24"/>
              </w:rPr>
              <w:t>4</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6"/>
              <w:ind w:left="251"/>
              <w:rPr>
                <w:sz w:val="24"/>
              </w:rPr>
            </w:pPr>
            <w:r>
              <w:rPr>
                <w:sz w:val="24"/>
              </w:rPr>
              <w:t>5</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5"/>
              <w:ind w:left="251"/>
              <w:rPr>
                <w:sz w:val="24"/>
              </w:rPr>
            </w:pPr>
            <w:r>
              <w:rPr>
                <w:sz w:val="24"/>
              </w:rPr>
              <w:t>6</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5"/>
              <w:ind w:left="251"/>
              <w:rPr>
                <w:sz w:val="24"/>
              </w:rPr>
            </w:pPr>
            <w:r>
              <w:rPr>
                <w:sz w:val="24"/>
              </w:rPr>
              <w:t>7</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27" w:type="dxa"/>
          </w:tcPr>
          <w:p>
            <w:pPr>
              <w:pStyle w:val="23"/>
              <w:spacing w:before="74"/>
              <w:ind w:left="251"/>
              <w:rPr>
                <w:sz w:val="24"/>
              </w:rPr>
            </w:pPr>
            <w:r>
              <w:rPr>
                <w:sz w:val="24"/>
              </w:rPr>
              <w:t>8</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27" w:type="dxa"/>
          </w:tcPr>
          <w:p>
            <w:pPr>
              <w:pStyle w:val="23"/>
              <w:spacing w:before="74"/>
              <w:ind w:left="191"/>
              <w:rPr>
                <w:sz w:val="24"/>
              </w:rPr>
            </w:pPr>
            <w:r>
              <w:rPr>
                <w:sz w:val="24"/>
              </w:rPr>
              <w:t>…</w:t>
            </w:r>
          </w:p>
        </w:tc>
        <w:tc>
          <w:tcPr>
            <w:tcW w:w="2067" w:type="dxa"/>
          </w:tcPr>
          <w:p>
            <w:pPr>
              <w:pStyle w:val="23"/>
              <w:rPr>
                <w:rFonts w:ascii="Times New Roman"/>
              </w:rPr>
            </w:pPr>
          </w:p>
        </w:tc>
        <w:tc>
          <w:tcPr>
            <w:tcW w:w="2985" w:type="dxa"/>
          </w:tcPr>
          <w:p>
            <w:pPr>
              <w:pStyle w:val="23"/>
              <w:rPr>
                <w:rFonts w:ascii="Times New Roman"/>
              </w:rPr>
            </w:pPr>
          </w:p>
        </w:tc>
        <w:tc>
          <w:tcPr>
            <w:tcW w:w="1905" w:type="dxa"/>
          </w:tcPr>
          <w:p>
            <w:pPr>
              <w:pStyle w:val="23"/>
              <w:rPr>
                <w:rFonts w:ascii="Times New Roman"/>
              </w:rPr>
            </w:pPr>
          </w:p>
        </w:tc>
        <w:tc>
          <w:tcPr>
            <w:tcW w:w="937" w:type="dxa"/>
          </w:tcPr>
          <w:p>
            <w:pPr>
              <w:pStyle w:val="23"/>
              <w:rPr>
                <w:rFonts w:ascii="Times New Roman"/>
              </w:rPr>
            </w:pPr>
          </w:p>
        </w:tc>
      </w:tr>
    </w:tbl>
    <w:p>
      <w:pPr>
        <w:pStyle w:val="12"/>
        <w:spacing w:before="81"/>
        <w:ind w:left="760"/>
      </w:pPr>
      <w:r>
        <w:rPr>
          <w:rFonts w:hint="eastAsia"/>
        </w:rPr>
        <w:t>[说明]：若对采购项目内容条款有偏离，按照如下格式填写，若对采购项目所有条款均无偏离，此表留空。</w:t>
      </w:r>
    </w:p>
    <w:p>
      <w:pPr>
        <w:pStyle w:val="12"/>
      </w:pPr>
    </w:p>
    <w:p>
      <w:pPr>
        <w:pStyle w:val="12"/>
        <w:spacing w:before="2"/>
        <w:rPr>
          <w:sz w:val="30"/>
        </w:rPr>
      </w:pPr>
    </w:p>
    <w:p>
      <w:pPr>
        <w:pStyle w:val="12"/>
        <w:spacing w:line="360" w:lineRule="auto"/>
        <w:ind w:firstLine="4800" w:firstLineChars="2000"/>
        <w:rPr>
          <w:sz w:val="30"/>
        </w:rPr>
      </w:pPr>
      <w:r>
        <w:t>投标人名称（加盖公章）：</w:t>
      </w:r>
    </w:p>
    <w:p>
      <w:pPr>
        <w:spacing w:line="360" w:lineRule="auto"/>
        <w:ind w:firstLine="4800" w:firstLineChars="2000"/>
        <w:rPr>
          <w:sz w:val="24"/>
          <w:szCs w:val="24"/>
        </w:rPr>
      </w:pPr>
      <w:r>
        <w:rPr>
          <w:sz w:val="24"/>
          <w:szCs w:val="24"/>
        </w:rPr>
        <w:t xml:space="preserve">投标人法定代表人或其授权代表（签字）： </w:t>
      </w:r>
    </w:p>
    <w:p>
      <w:pPr>
        <w:spacing w:line="360" w:lineRule="auto"/>
        <w:ind w:firstLine="4800" w:firstLineChars="2000"/>
      </w:pP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r>
        <w:rPr>
          <w:rFonts w:hint="eastAsia"/>
        </w:rPr>
        <w:br w:type="page"/>
      </w:r>
    </w:p>
    <w:p/>
    <w:p>
      <w:pPr>
        <w:pStyle w:val="10"/>
        <w:jc w:val="center"/>
        <w:rPr>
          <w:b/>
          <w:bCs/>
          <w:sz w:val="24"/>
          <w:szCs w:val="22"/>
        </w:rPr>
      </w:pPr>
      <w:r>
        <w:rPr>
          <w:b/>
          <w:bCs/>
          <w:sz w:val="24"/>
          <w:szCs w:val="22"/>
        </w:rPr>
        <w:t>（格式自拟）</w:t>
      </w:r>
    </w:p>
    <w:p>
      <w:pPr>
        <w:pStyle w:val="10"/>
      </w:pPr>
    </w:p>
    <w:p>
      <w:pPr>
        <w:pStyle w:val="10"/>
      </w:pPr>
      <w:r>
        <w:t>建议包括但不限于以下内容：</w:t>
      </w:r>
    </w:p>
    <w:p>
      <w:pPr>
        <w:pStyle w:val="10"/>
      </w:pPr>
    </w:p>
    <w:p>
      <w:pPr>
        <w:pStyle w:val="10"/>
        <w:spacing w:line="480" w:lineRule="auto"/>
        <w:rPr>
          <w:rFonts w:ascii="宋体" w:hAnsi="宋体"/>
          <w:bCs/>
          <w:szCs w:val="21"/>
        </w:rPr>
      </w:pPr>
      <w:r>
        <w:rPr>
          <w:rFonts w:hint="eastAsia" w:ascii="宋体" w:hAnsi="宋体"/>
          <w:bCs/>
          <w:szCs w:val="21"/>
        </w:rPr>
        <w:t>技术方案</w:t>
      </w:r>
    </w:p>
    <w:p>
      <w:pPr>
        <w:pStyle w:val="10"/>
        <w:spacing w:line="480" w:lineRule="auto"/>
      </w:pPr>
      <w:r>
        <w:t>项目实施方案</w:t>
      </w:r>
    </w:p>
    <w:p>
      <w:pPr>
        <w:pStyle w:val="10"/>
        <w:spacing w:line="480" w:lineRule="auto"/>
        <w:rPr>
          <w:szCs w:val="21"/>
        </w:rPr>
      </w:pPr>
      <w:r>
        <w:rPr>
          <w:rFonts w:hint="eastAsia"/>
          <w:szCs w:val="21"/>
        </w:rPr>
        <w:t>售后服务方案及技术培训方案</w:t>
      </w:r>
    </w:p>
    <w:p>
      <w:pPr>
        <w:pStyle w:val="10"/>
        <w:spacing w:line="480" w:lineRule="auto"/>
        <w:rPr>
          <w:szCs w:val="21"/>
          <w:lang w:val="en-US"/>
        </w:rPr>
      </w:pPr>
      <w:r>
        <w:rPr>
          <w:rFonts w:hint="eastAsia"/>
          <w:szCs w:val="21"/>
          <w:lang w:val="en-US"/>
        </w:rPr>
        <w:t>对项目的理解及熟悉程度</w:t>
      </w:r>
    </w:p>
    <w:p>
      <w:pPr>
        <w:pStyle w:val="10"/>
        <w:spacing w:line="480" w:lineRule="auto"/>
        <w:rPr>
          <w:szCs w:val="21"/>
        </w:rPr>
      </w:pPr>
      <w:r>
        <w:rPr>
          <w:rFonts w:hint="eastAsia"/>
          <w:szCs w:val="21"/>
        </w:rPr>
        <w:t>操控硬件和软件</w:t>
      </w:r>
    </w:p>
    <w:p>
      <w:pPr>
        <w:pStyle w:val="10"/>
        <w:spacing w:line="480" w:lineRule="auto"/>
      </w:pPr>
      <w:r>
        <w:t>投标人认为必要的其他技术资料。</w:t>
      </w:r>
    </w:p>
    <w:p>
      <w:pPr>
        <w:rPr>
          <w:sz w:val="26"/>
        </w:rPr>
      </w:pPr>
      <w:r>
        <w:rPr>
          <w:sz w:val="26"/>
        </w:rPr>
        <w:br w:type="page"/>
      </w:r>
    </w:p>
    <w:p>
      <w:pPr>
        <w:pStyle w:val="4"/>
        <w:ind w:firstLine="482"/>
        <w:rPr>
          <w:lang w:val="en-US"/>
        </w:rPr>
      </w:pPr>
      <w:r>
        <w:rPr>
          <w:rFonts w:hint="eastAsia"/>
          <w:lang w:val="en-US"/>
        </w:rPr>
        <w:t>第五部分：价格部分</w:t>
      </w:r>
    </w:p>
    <w:p>
      <w:pPr>
        <w:pStyle w:val="5"/>
      </w:pPr>
      <w:r>
        <w:rPr>
          <w:rFonts w:ascii="Calibri" w:eastAsia="Calibri"/>
        </w:rPr>
        <w:t>1</w:t>
      </w:r>
      <w:r>
        <w:t>、开标一览表</w:t>
      </w:r>
    </w:p>
    <w:p>
      <w:pPr>
        <w:pStyle w:val="12"/>
        <w:spacing w:before="10"/>
        <w:rPr>
          <w:b/>
          <w:sz w:val="29"/>
        </w:rPr>
      </w:pPr>
    </w:p>
    <w:p>
      <w:pPr>
        <w:pStyle w:val="12"/>
        <w:spacing w:before="66" w:line="422" w:lineRule="auto"/>
        <w:ind w:left="760" w:right="8105"/>
      </w:pPr>
      <w:r>
        <w:t>项目名称： 项目编号：</w:t>
      </w:r>
    </w:p>
    <w:tbl>
      <w:tblPr>
        <w:tblStyle w:val="19"/>
        <w:tblpPr w:leftFromText="180" w:rightFromText="180" w:vertAnchor="text" w:horzAnchor="page" w:tblpXSpec="center" w:tblpY="168"/>
        <w:tblOverlap w:val="never"/>
        <w:tblW w:w="4085"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2196"/>
        <w:gridCol w:w="603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333" w:type="pct"/>
            <w:shd w:val="clear" w:color="auto" w:fill="D6D6D6"/>
            <w:vAlign w:val="center"/>
          </w:tcPr>
          <w:p>
            <w:pPr>
              <w:pStyle w:val="23"/>
              <w:spacing w:before="97" w:line="360" w:lineRule="auto"/>
              <w:ind w:left="428" w:right="379"/>
              <w:jc w:val="center"/>
              <w:rPr>
                <w:b/>
                <w:sz w:val="24"/>
              </w:rPr>
            </w:pPr>
            <w:r>
              <w:rPr>
                <w:b/>
                <w:sz w:val="24"/>
              </w:rPr>
              <w:t>分项</w:t>
            </w:r>
          </w:p>
        </w:tc>
        <w:tc>
          <w:tcPr>
            <w:tcW w:w="3666" w:type="pct"/>
            <w:shd w:val="clear" w:color="auto" w:fill="D6D6D6"/>
            <w:vAlign w:val="center"/>
          </w:tcPr>
          <w:p>
            <w:pPr>
              <w:pStyle w:val="23"/>
              <w:spacing w:before="97" w:line="360" w:lineRule="auto"/>
              <w:ind w:left="2348" w:right="2334"/>
              <w:jc w:val="center"/>
              <w:rPr>
                <w:b/>
                <w:sz w:val="24"/>
              </w:rPr>
            </w:pPr>
            <w:r>
              <w:rPr>
                <w:b/>
                <w:sz w:val="24"/>
              </w:rPr>
              <w:t>报价金额(元)</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33" w:type="pct"/>
            <w:vAlign w:val="center"/>
          </w:tcPr>
          <w:p>
            <w:pPr>
              <w:pStyle w:val="23"/>
              <w:spacing w:before="5" w:line="360" w:lineRule="auto"/>
              <w:ind w:right="422"/>
              <w:jc w:val="center"/>
              <w:rPr>
                <w:sz w:val="24"/>
              </w:rPr>
            </w:pPr>
            <w:r>
              <w:rPr>
                <w:sz w:val="24"/>
              </w:rPr>
              <w:t>设备费用</w:t>
            </w:r>
          </w:p>
        </w:tc>
        <w:tc>
          <w:tcPr>
            <w:tcW w:w="3666" w:type="pct"/>
            <w:vAlign w:val="center"/>
          </w:tcPr>
          <w:p>
            <w:pPr>
              <w:pStyle w:val="23"/>
              <w:spacing w:line="360" w:lineRule="auto"/>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333" w:type="pct"/>
            <w:vAlign w:val="center"/>
          </w:tcPr>
          <w:p>
            <w:pPr>
              <w:pStyle w:val="23"/>
              <w:spacing w:before="5" w:line="360" w:lineRule="auto"/>
              <w:ind w:right="422"/>
              <w:jc w:val="center"/>
              <w:rPr>
                <w:sz w:val="24"/>
              </w:rPr>
            </w:pPr>
            <w:r>
              <w:rPr>
                <w:sz w:val="24"/>
              </w:rPr>
              <w:t>税费</w:t>
            </w:r>
          </w:p>
        </w:tc>
        <w:tc>
          <w:tcPr>
            <w:tcW w:w="3666" w:type="pct"/>
            <w:vAlign w:val="center"/>
          </w:tcPr>
          <w:p>
            <w:pPr>
              <w:pStyle w:val="23"/>
              <w:spacing w:line="360" w:lineRule="auto"/>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333" w:type="pct"/>
            <w:vAlign w:val="center"/>
          </w:tcPr>
          <w:p>
            <w:pPr>
              <w:pStyle w:val="23"/>
              <w:spacing w:before="5" w:line="360" w:lineRule="auto"/>
              <w:ind w:right="422"/>
              <w:jc w:val="center"/>
              <w:rPr>
                <w:sz w:val="24"/>
              </w:rPr>
            </w:pPr>
            <w:r>
              <w:rPr>
                <w:sz w:val="24"/>
              </w:rPr>
              <w:t>运输费</w:t>
            </w:r>
          </w:p>
        </w:tc>
        <w:tc>
          <w:tcPr>
            <w:tcW w:w="3666" w:type="pct"/>
            <w:vAlign w:val="center"/>
          </w:tcPr>
          <w:p>
            <w:pPr>
              <w:pStyle w:val="23"/>
              <w:spacing w:line="360" w:lineRule="auto"/>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333" w:type="pct"/>
            <w:vAlign w:val="center"/>
          </w:tcPr>
          <w:p>
            <w:pPr>
              <w:pStyle w:val="23"/>
              <w:spacing w:before="5" w:line="360" w:lineRule="auto"/>
              <w:ind w:right="422"/>
              <w:jc w:val="center"/>
              <w:rPr>
                <w:sz w:val="24"/>
              </w:rPr>
            </w:pPr>
            <w:r>
              <w:rPr>
                <w:sz w:val="24"/>
              </w:rPr>
              <w:t>其他费用</w:t>
            </w:r>
          </w:p>
        </w:tc>
        <w:tc>
          <w:tcPr>
            <w:tcW w:w="3666" w:type="pct"/>
            <w:vAlign w:val="center"/>
          </w:tcPr>
          <w:p>
            <w:pPr>
              <w:pStyle w:val="23"/>
              <w:spacing w:line="360" w:lineRule="auto"/>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333" w:type="pct"/>
            <w:vMerge w:val="restart"/>
            <w:shd w:val="clear" w:color="auto" w:fill="D6D6D6"/>
            <w:vAlign w:val="center"/>
          </w:tcPr>
          <w:p>
            <w:pPr>
              <w:pStyle w:val="23"/>
              <w:spacing w:before="210" w:line="360" w:lineRule="auto"/>
              <w:ind w:right="422"/>
              <w:jc w:val="center"/>
              <w:rPr>
                <w:sz w:val="24"/>
              </w:rPr>
            </w:pPr>
            <w:r>
              <w:rPr>
                <w:sz w:val="24"/>
              </w:rPr>
              <w:t>总报价</w:t>
            </w:r>
          </w:p>
        </w:tc>
        <w:tc>
          <w:tcPr>
            <w:tcW w:w="3666" w:type="pct"/>
            <w:shd w:val="clear" w:color="auto" w:fill="D6D6D6"/>
            <w:vAlign w:val="center"/>
          </w:tcPr>
          <w:p>
            <w:pPr>
              <w:pStyle w:val="23"/>
              <w:spacing w:before="157" w:line="360" w:lineRule="auto"/>
              <w:ind w:left="106"/>
              <w:jc w:val="both"/>
              <w:rPr>
                <w:b/>
                <w:sz w:val="24"/>
              </w:rPr>
            </w:pPr>
            <w:r>
              <w:rPr>
                <w:sz w:val="24"/>
              </w:rPr>
              <w:t>小写：</w:t>
            </w:r>
            <w:r>
              <w:rPr>
                <w:b/>
                <w:sz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333" w:type="pct"/>
            <w:vMerge w:val="continue"/>
            <w:tcBorders>
              <w:top w:val="nil"/>
            </w:tcBorders>
            <w:shd w:val="clear" w:color="auto" w:fill="D6D6D6"/>
            <w:vAlign w:val="center"/>
          </w:tcPr>
          <w:p>
            <w:pPr>
              <w:spacing w:line="360" w:lineRule="auto"/>
              <w:jc w:val="center"/>
              <w:rPr>
                <w:sz w:val="2"/>
                <w:szCs w:val="2"/>
              </w:rPr>
            </w:pPr>
          </w:p>
        </w:tc>
        <w:tc>
          <w:tcPr>
            <w:tcW w:w="3666" w:type="pct"/>
            <w:shd w:val="clear" w:color="auto" w:fill="D6D6D6"/>
            <w:vAlign w:val="center"/>
          </w:tcPr>
          <w:p>
            <w:pPr>
              <w:pStyle w:val="23"/>
              <w:spacing w:before="201" w:line="360" w:lineRule="auto"/>
              <w:ind w:left="106"/>
              <w:jc w:val="both"/>
              <w:rPr>
                <w:sz w:val="24"/>
              </w:rPr>
            </w:pPr>
            <w:r>
              <w:rPr>
                <w:sz w:val="24"/>
              </w:rPr>
              <w:t>大写：人民币</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333" w:type="pct"/>
            <w:shd w:val="clear" w:color="auto" w:fill="D6D6D6"/>
            <w:vAlign w:val="center"/>
          </w:tcPr>
          <w:p>
            <w:pPr>
              <w:pStyle w:val="23"/>
              <w:spacing w:before="106" w:line="360" w:lineRule="auto"/>
              <w:ind w:right="422"/>
              <w:jc w:val="center"/>
              <w:rPr>
                <w:sz w:val="24"/>
              </w:rPr>
            </w:pPr>
            <w:r>
              <w:rPr>
                <w:sz w:val="24"/>
              </w:rPr>
              <w:t>交货期</w:t>
            </w:r>
          </w:p>
        </w:tc>
        <w:tc>
          <w:tcPr>
            <w:tcW w:w="3666" w:type="pct"/>
            <w:shd w:val="clear" w:color="auto" w:fill="D6D6D6"/>
            <w:vAlign w:val="center"/>
          </w:tcPr>
          <w:p>
            <w:pPr>
              <w:pStyle w:val="23"/>
              <w:spacing w:line="360" w:lineRule="auto"/>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333" w:type="pct"/>
            <w:vAlign w:val="center"/>
          </w:tcPr>
          <w:p>
            <w:pPr>
              <w:pStyle w:val="23"/>
              <w:spacing w:line="360" w:lineRule="auto"/>
              <w:ind w:right="422"/>
              <w:jc w:val="center"/>
              <w:rPr>
                <w:sz w:val="24"/>
              </w:rPr>
            </w:pPr>
            <w:r>
              <w:rPr>
                <w:sz w:val="24"/>
              </w:rPr>
              <w:t>备注</w:t>
            </w:r>
          </w:p>
        </w:tc>
        <w:tc>
          <w:tcPr>
            <w:tcW w:w="3666" w:type="pct"/>
            <w:vAlign w:val="center"/>
          </w:tcPr>
          <w:p>
            <w:pPr>
              <w:pStyle w:val="23"/>
              <w:spacing w:line="360" w:lineRule="auto"/>
              <w:jc w:val="center"/>
              <w:rPr>
                <w:sz w:val="24"/>
              </w:rPr>
            </w:pPr>
            <w:r>
              <w:rPr>
                <w:sz w:val="24"/>
              </w:rPr>
              <w:t>详细内容见《投标明细报价表》。</w:t>
            </w:r>
          </w:p>
        </w:tc>
      </w:tr>
    </w:tbl>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spacing w:before="3"/>
        <w:rPr>
          <w:sz w:val="28"/>
        </w:rPr>
      </w:pPr>
    </w:p>
    <w:p>
      <w:pPr>
        <w:pStyle w:val="12"/>
        <w:ind w:left="760"/>
      </w:pPr>
    </w:p>
    <w:p>
      <w:pPr>
        <w:pStyle w:val="12"/>
        <w:ind w:left="760"/>
      </w:pPr>
    </w:p>
    <w:p>
      <w:pPr>
        <w:pStyle w:val="12"/>
        <w:ind w:left="760"/>
      </w:pPr>
      <w:r>
        <w:t>注：</w:t>
      </w:r>
    </w:p>
    <w:p>
      <w:pPr>
        <w:pStyle w:val="12"/>
        <w:spacing w:before="154"/>
        <w:ind w:left="1180"/>
      </w:pPr>
      <w:r>
        <w:t>1、投标人须按要求填写所有信息，不得随意更改本表格式。</w:t>
      </w:r>
    </w:p>
    <w:p>
      <w:pPr>
        <w:pStyle w:val="12"/>
        <w:spacing w:before="158" w:line="364" w:lineRule="auto"/>
        <w:ind w:left="760" w:right="997" w:firstLine="420"/>
        <w:jc w:val="both"/>
      </w:pPr>
      <w:r>
        <w:t>2、投标报价必须包含货物及零配件的购置和安装、运输保险、装卸、培训</w:t>
      </w:r>
      <w:r>
        <w:rPr>
          <w:spacing w:val="-10"/>
        </w:rPr>
        <w:t>辅导、质保期售后服务、全额含税发票、雇员费用、合同实施过程中应预见和不</w:t>
      </w:r>
      <w:r>
        <w:t>可预见费用等。所有价格均应以人民币报价，金额单位为元。</w:t>
      </w:r>
    </w:p>
    <w:p>
      <w:pPr>
        <w:pStyle w:val="12"/>
        <w:spacing w:line="364" w:lineRule="auto"/>
        <w:ind w:left="760" w:right="997" w:firstLine="420"/>
      </w:pPr>
      <w:r>
        <w:t>3、此表是投标文件的必要文件，是投标文件的组成部分，还应另附一份并与优惠声明（若有）封装在唱标信封中，作为唱标之用。</w:t>
      </w:r>
    </w:p>
    <w:p>
      <w:pPr>
        <w:pStyle w:val="12"/>
      </w:pPr>
    </w:p>
    <w:p>
      <w:pPr>
        <w:pStyle w:val="12"/>
        <w:spacing w:before="8"/>
        <w:rPr>
          <w:sz w:val="23"/>
        </w:rPr>
      </w:pPr>
    </w:p>
    <w:p>
      <w:pPr>
        <w:pStyle w:val="12"/>
        <w:ind w:left="4338"/>
      </w:pPr>
      <w:r>
        <w:t>投标人名称（加盖公章）：</w:t>
      </w:r>
    </w:p>
    <w:p>
      <w:pPr>
        <w:pStyle w:val="12"/>
        <w:spacing w:before="4"/>
        <w:rPr>
          <w:sz w:val="30"/>
        </w:rPr>
      </w:pPr>
    </w:p>
    <w:p>
      <w:pPr>
        <w:pStyle w:val="12"/>
        <w:tabs>
          <w:tab w:val="left" w:pos="5418"/>
          <w:tab w:val="left" w:pos="6018"/>
          <w:tab w:val="left" w:pos="6618"/>
        </w:tabs>
        <w:spacing w:line="602" w:lineRule="auto"/>
        <w:ind w:left="4338" w:right="1165"/>
      </w:pPr>
      <w:r>
        <w:t>投标人法定代表人或其授权代表（签字</w:t>
      </w:r>
      <w:r>
        <w:rPr>
          <w:spacing w:val="-9"/>
        </w:rPr>
        <w:t xml:space="preserve">）： </w:t>
      </w:r>
      <w:r>
        <w:t>日期：</w:t>
      </w:r>
      <w:r>
        <w:tab/>
      </w:r>
      <w:r>
        <w:t>年</w:t>
      </w:r>
      <w:r>
        <w:tab/>
      </w:r>
      <w:r>
        <w:t>月</w:t>
      </w:r>
      <w:r>
        <w:tab/>
      </w:r>
      <w:r>
        <w:t>日</w:t>
      </w:r>
    </w:p>
    <w:p>
      <w:pPr>
        <w:sectPr>
          <w:footerReference r:id="rId15" w:type="default"/>
          <w:pgSz w:w="11910" w:h="16840"/>
          <w:pgMar w:top="1380" w:right="800" w:bottom="1060" w:left="1040" w:header="924" w:footer="864" w:gutter="0"/>
          <w:cols w:space="720" w:num="1"/>
        </w:sectPr>
      </w:pPr>
    </w:p>
    <w:p>
      <w:pPr>
        <w:pStyle w:val="5"/>
        <w:ind w:left="0"/>
      </w:pPr>
      <w:r>
        <w:rPr>
          <w:rFonts w:ascii="Calibri" w:eastAsia="Calibri"/>
        </w:rPr>
        <w:t>2</w:t>
      </w:r>
      <w:r>
        <w:t>、投标明细报价表</w:t>
      </w:r>
    </w:p>
    <w:p>
      <w:pPr>
        <w:pStyle w:val="12"/>
        <w:rPr>
          <w:b/>
          <w:sz w:val="20"/>
        </w:rPr>
      </w:pPr>
    </w:p>
    <w:p>
      <w:pPr>
        <w:pStyle w:val="12"/>
        <w:spacing w:before="9"/>
        <w:rPr>
          <w:b/>
          <w:sz w:val="18"/>
        </w:rPr>
      </w:pPr>
    </w:p>
    <w:p>
      <w:pPr>
        <w:pStyle w:val="12"/>
        <w:spacing w:before="67" w:line="420" w:lineRule="auto"/>
        <w:ind w:left="760" w:right="8105"/>
      </w:pPr>
      <w:r>
        <w:t>项目名称： 项目编号：</w:t>
      </w:r>
    </w:p>
    <w:tbl>
      <w:tblPr>
        <w:tblStyle w:val="19"/>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7"/>
        <w:gridCol w:w="1091"/>
        <w:gridCol w:w="1799"/>
        <w:gridCol w:w="1029"/>
        <w:gridCol w:w="802"/>
        <w:gridCol w:w="1083"/>
        <w:gridCol w:w="1500"/>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7" w:type="dxa"/>
            <w:shd w:val="clear" w:color="auto" w:fill="CCCCCC"/>
          </w:tcPr>
          <w:p>
            <w:pPr>
              <w:pStyle w:val="23"/>
              <w:spacing w:before="158" w:line="242" w:lineRule="auto"/>
              <w:ind w:left="143" w:right="131"/>
              <w:rPr>
                <w:b/>
                <w:sz w:val="24"/>
              </w:rPr>
            </w:pPr>
            <w:r>
              <w:rPr>
                <w:b/>
                <w:sz w:val="24"/>
              </w:rPr>
              <w:t>序号</w:t>
            </w:r>
          </w:p>
        </w:tc>
        <w:tc>
          <w:tcPr>
            <w:tcW w:w="1091" w:type="dxa"/>
            <w:shd w:val="clear" w:color="auto" w:fill="CCCCCC"/>
          </w:tcPr>
          <w:p>
            <w:pPr>
              <w:pStyle w:val="23"/>
              <w:spacing w:before="158" w:line="242" w:lineRule="auto"/>
              <w:ind w:left="305" w:right="293"/>
              <w:rPr>
                <w:b/>
                <w:sz w:val="24"/>
              </w:rPr>
            </w:pPr>
            <w:r>
              <w:rPr>
                <w:b/>
                <w:sz w:val="24"/>
              </w:rPr>
              <w:t>分项名称</w:t>
            </w:r>
          </w:p>
        </w:tc>
        <w:tc>
          <w:tcPr>
            <w:tcW w:w="1799" w:type="dxa"/>
            <w:shd w:val="clear" w:color="auto" w:fill="CCCCCC"/>
          </w:tcPr>
          <w:p>
            <w:pPr>
              <w:pStyle w:val="23"/>
              <w:spacing w:before="2"/>
              <w:ind w:left="109" w:firstLine="69"/>
              <w:rPr>
                <w:b/>
                <w:sz w:val="24"/>
              </w:rPr>
            </w:pPr>
            <w:r>
              <w:rPr>
                <w:b/>
                <w:sz w:val="24"/>
              </w:rPr>
              <w:t>品牌、规格型</w:t>
            </w:r>
          </w:p>
          <w:p>
            <w:pPr>
              <w:pStyle w:val="23"/>
              <w:spacing w:before="2" w:line="310" w:lineRule="atLeast"/>
              <w:ind w:left="779" w:right="93" w:hanging="670"/>
              <w:rPr>
                <w:b/>
                <w:sz w:val="24"/>
              </w:rPr>
            </w:pPr>
            <w:r>
              <w:rPr>
                <w:b/>
                <w:spacing w:val="-18"/>
                <w:sz w:val="24"/>
              </w:rPr>
              <w:t>号、主要技术参</w:t>
            </w:r>
            <w:r>
              <w:rPr>
                <w:b/>
                <w:sz w:val="24"/>
              </w:rPr>
              <w:t>数</w:t>
            </w:r>
          </w:p>
        </w:tc>
        <w:tc>
          <w:tcPr>
            <w:tcW w:w="1029" w:type="dxa"/>
            <w:shd w:val="clear" w:color="auto" w:fill="CCCCCC"/>
          </w:tcPr>
          <w:p>
            <w:pPr>
              <w:pStyle w:val="23"/>
              <w:spacing w:before="6"/>
              <w:rPr>
                <w:sz w:val="24"/>
              </w:rPr>
            </w:pPr>
          </w:p>
          <w:p>
            <w:pPr>
              <w:pStyle w:val="23"/>
              <w:ind w:left="153"/>
              <w:rPr>
                <w:b/>
                <w:sz w:val="24"/>
              </w:rPr>
            </w:pPr>
            <w:r>
              <w:rPr>
                <w:b/>
                <w:sz w:val="24"/>
              </w:rPr>
              <w:t>制造商</w:t>
            </w:r>
          </w:p>
        </w:tc>
        <w:tc>
          <w:tcPr>
            <w:tcW w:w="802" w:type="dxa"/>
            <w:shd w:val="clear" w:color="auto" w:fill="CCCCCC"/>
          </w:tcPr>
          <w:p>
            <w:pPr>
              <w:pStyle w:val="23"/>
              <w:spacing w:before="6"/>
              <w:rPr>
                <w:sz w:val="24"/>
              </w:rPr>
            </w:pPr>
          </w:p>
          <w:p>
            <w:pPr>
              <w:pStyle w:val="23"/>
              <w:ind w:left="161"/>
              <w:rPr>
                <w:b/>
                <w:sz w:val="24"/>
              </w:rPr>
            </w:pPr>
            <w:r>
              <w:rPr>
                <w:b/>
                <w:sz w:val="24"/>
              </w:rPr>
              <w:t>数量</w:t>
            </w:r>
          </w:p>
        </w:tc>
        <w:tc>
          <w:tcPr>
            <w:tcW w:w="1083" w:type="dxa"/>
            <w:shd w:val="clear" w:color="auto" w:fill="CCCCCC"/>
          </w:tcPr>
          <w:p>
            <w:pPr>
              <w:pStyle w:val="23"/>
              <w:spacing w:before="6"/>
              <w:rPr>
                <w:sz w:val="24"/>
              </w:rPr>
            </w:pPr>
          </w:p>
          <w:p>
            <w:pPr>
              <w:pStyle w:val="23"/>
              <w:ind w:left="300"/>
              <w:rPr>
                <w:b/>
                <w:sz w:val="24"/>
              </w:rPr>
            </w:pPr>
            <w:r>
              <w:rPr>
                <w:b/>
                <w:sz w:val="24"/>
              </w:rPr>
              <w:t>单价</w:t>
            </w:r>
          </w:p>
        </w:tc>
        <w:tc>
          <w:tcPr>
            <w:tcW w:w="1500" w:type="dxa"/>
            <w:shd w:val="clear" w:color="auto" w:fill="CCCCCC"/>
          </w:tcPr>
          <w:p>
            <w:pPr>
              <w:pStyle w:val="23"/>
              <w:spacing w:before="6"/>
              <w:rPr>
                <w:sz w:val="24"/>
              </w:rPr>
            </w:pPr>
          </w:p>
          <w:p>
            <w:pPr>
              <w:pStyle w:val="23"/>
              <w:ind w:left="148"/>
              <w:rPr>
                <w:b/>
                <w:sz w:val="24"/>
              </w:rPr>
            </w:pPr>
            <w:r>
              <w:rPr>
                <w:b/>
                <w:sz w:val="24"/>
              </w:rPr>
              <w:t>合计（元）</w:t>
            </w:r>
          </w:p>
        </w:tc>
        <w:tc>
          <w:tcPr>
            <w:tcW w:w="917" w:type="dxa"/>
            <w:shd w:val="clear" w:color="auto" w:fill="CCCCCC"/>
          </w:tcPr>
          <w:p>
            <w:pPr>
              <w:pStyle w:val="23"/>
              <w:spacing w:before="6"/>
              <w:rPr>
                <w:sz w:val="24"/>
              </w:rPr>
            </w:pPr>
          </w:p>
          <w:p>
            <w:pPr>
              <w:pStyle w:val="23"/>
              <w:ind w:left="218"/>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7" w:type="dxa"/>
          </w:tcPr>
          <w:p>
            <w:pPr>
              <w:pStyle w:val="23"/>
              <w:rPr>
                <w:rFonts w:ascii="Times New Roman"/>
              </w:rPr>
            </w:pPr>
          </w:p>
        </w:tc>
        <w:tc>
          <w:tcPr>
            <w:tcW w:w="1091" w:type="dxa"/>
          </w:tcPr>
          <w:p>
            <w:pPr>
              <w:pStyle w:val="23"/>
              <w:rPr>
                <w:rFonts w:ascii="Times New Roman"/>
              </w:rPr>
            </w:pPr>
          </w:p>
        </w:tc>
        <w:tc>
          <w:tcPr>
            <w:tcW w:w="1799" w:type="dxa"/>
          </w:tcPr>
          <w:p>
            <w:pPr>
              <w:pStyle w:val="23"/>
              <w:rPr>
                <w:rFonts w:ascii="Times New Roman"/>
              </w:rPr>
            </w:pPr>
          </w:p>
        </w:tc>
        <w:tc>
          <w:tcPr>
            <w:tcW w:w="1029" w:type="dxa"/>
          </w:tcPr>
          <w:p>
            <w:pPr>
              <w:pStyle w:val="23"/>
              <w:rPr>
                <w:rFonts w:ascii="Times New Roman"/>
              </w:rPr>
            </w:pPr>
          </w:p>
        </w:tc>
        <w:tc>
          <w:tcPr>
            <w:tcW w:w="802" w:type="dxa"/>
          </w:tcPr>
          <w:p>
            <w:pPr>
              <w:pStyle w:val="23"/>
              <w:rPr>
                <w:rFonts w:ascii="Times New Roman"/>
              </w:rPr>
            </w:pPr>
          </w:p>
        </w:tc>
        <w:tc>
          <w:tcPr>
            <w:tcW w:w="1083" w:type="dxa"/>
          </w:tcPr>
          <w:p>
            <w:pPr>
              <w:pStyle w:val="23"/>
              <w:rPr>
                <w:rFonts w:ascii="Times New Roman"/>
              </w:rPr>
            </w:pPr>
          </w:p>
        </w:tc>
        <w:tc>
          <w:tcPr>
            <w:tcW w:w="1500" w:type="dxa"/>
          </w:tcPr>
          <w:p>
            <w:pPr>
              <w:pStyle w:val="23"/>
              <w:rPr>
                <w:rFonts w:ascii="Times New Roman"/>
              </w:rPr>
            </w:pPr>
          </w:p>
        </w:tc>
        <w:tc>
          <w:tcPr>
            <w:tcW w:w="91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27" w:type="dxa"/>
          </w:tcPr>
          <w:p>
            <w:pPr>
              <w:pStyle w:val="23"/>
              <w:rPr>
                <w:rFonts w:ascii="Times New Roman"/>
              </w:rPr>
            </w:pPr>
          </w:p>
        </w:tc>
        <w:tc>
          <w:tcPr>
            <w:tcW w:w="1091" w:type="dxa"/>
          </w:tcPr>
          <w:p>
            <w:pPr>
              <w:pStyle w:val="23"/>
              <w:rPr>
                <w:rFonts w:ascii="Times New Roman"/>
              </w:rPr>
            </w:pPr>
          </w:p>
        </w:tc>
        <w:tc>
          <w:tcPr>
            <w:tcW w:w="1799" w:type="dxa"/>
          </w:tcPr>
          <w:p>
            <w:pPr>
              <w:pStyle w:val="23"/>
              <w:rPr>
                <w:rFonts w:ascii="Times New Roman"/>
              </w:rPr>
            </w:pPr>
          </w:p>
        </w:tc>
        <w:tc>
          <w:tcPr>
            <w:tcW w:w="1029" w:type="dxa"/>
          </w:tcPr>
          <w:p>
            <w:pPr>
              <w:pStyle w:val="23"/>
              <w:rPr>
                <w:rFonts w:ascii="Times New Roman"/>
              </w:rPr>
            </w:pPr>
          </w:p>
        </w:tc>
        <w:tc>
          <w:tcPr>
            <w:tcW w:w="802" w:type="dxa"/>
          </w:tcPr>
          <w:p>
            <w:pPr>
              <w:pStyle w:val="23"/>
              <w:rPr>
                <w:rFonts w:ascii="Times New Roman"/>
              </w:rPr>
            </w:pPr>
          </w:p>
        </w:tc>
        <w:tc>
          <w:tcPr>
            <w:tcW w:w="1083" w:type="dxa"/>
          </w:tcPr>
          <w:p>
            <w:pPr>
              <w:pStyle w:val="23"/>
              <w:rPr>
                <w:rFonts w:ascii="Times New Roman"/>
              </w:rPr>
            </w:pPr>
          </w:p>
        </w:tc>
        <w:tc>
          <w:tcPr>
            <w:tcW w:w="1500" w:type="dxa"/>
          </w:tcPr>
          <w:p>
            <w:pPr>
              <w:pStyle w:val="23"/>
              <w:rPr>
                <w:rFonts w:ascii="Times New Roman"/>
              </w:rPr>
            </w:pPr>
          </w:p>
        </w:tc>
        <w:tc>
          <w:tcPr>
            <w:tcW w:w="91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27" w:type="dxa"/>
          </w:tcPr>
          <w:p>
            <w:pPr>
              <w:pStyle w:val="23"/>
              <w:rPr>
                <w:rFonts w:ascii="Times New Roman"/>
              </w:rPr>
            </w:pPr>
          </w:p>
        </w:tc>
        <w:tc>
          <w:tcPr>
            <w:tcW w:w="1091" w:type="dxa"/>
          </w:tcPr>
          <w:p>
            <w:pPr>
              <w:pStyle w:val="23"/>
              <w:rPr>
                <w:rFonts w:ascii="Times New Roman"/>
              </w:rPr>
            </w:pPr>
          </w:p>
        </w:tc>
        <w:tc>
          <w:tcPr>
            <w:tcW w:w="1799" w:type="dxa"/>
          </w:tcPr>
          <w:p>
            <w:pPr>
              <w:pStyle w:val="23"/>
              <w:rPr>
                <w:rFonts w:ascii="Times New Roman"/>
              </w:rPr>
            </w:pPr>
          </w:p>
        </w:tc>
        <w:tc>
          <w:tcPr>
            <w:tcW w:w="1029" w:type="dxa"/>
          </w:tcPr>
          <w:p>
            <w:pPr>
              <w:pStyle w:val="23"/>
              <w:rPr>
                <w:rFonts w:ascii="Times New Roman"/>
              </w:rPr>
            </w:pPr>
          </w:p>
        </w:tc>
        <w:tc>
          <w:tcPr>
            <w:tcW w:w="802" w:type="dxa"/>
          </w:tcPr>
          <w:p>
            <w:pPr>
              <w:pStyle w:val="23"/>
              <w:rPr>
                <w:rFonts w:ascii="Times New Roman"/>
              </w:rPr>
            </w:pPr>
          </w:p>
        </w:tc>
        <w:tc>
          <w:tcPr>
            <w:tcW w:w="1083" w:type="dxa"/>
          </w:tcPr>
          <w:p>
            <w:pPr>
              <w:pStyle w:val="23"/>
              <w:rPr>
                <w:rFonts w:ascii="Times New Roman"/>
              </w:rPr>
            </w:pPr>
          </w:p>
        </w:tc>
        <w:tc>
          <w:tcPr>
            <w:tcW w:w="1500" w:type="dxa"/>
          </w:tcPr>
          <w:p>
            <w:pPr>
              <w:pStyle w:val="23"/>
              <w:rPr>
                <w:rFonts w:ascii="Times New Roman"/>
              </w:rPr>
            </w:pPr>
          </w:p>
        </w:tc>
        <w:tc>
          <w:tcPr>
            <w:tcW w:w="91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7" w:type="dxa"/>
          </w:tcPr>
          <w:p>
            <w:pPr>
              <w:pStyle w:val="23"/>
              <w:rPr>
                <w:rFonts w:ascii="Times New Roman"/>
              </w:rPr>
            </w:pPr>
          </w:p>
        </w:tc>
        <w:tc>
          <w:tcPr>
            <w:tcW w:w="1091" w:type="dxa"/>
          </w:tcPr>
          <w:p>
            <w:pPr>
              <w:pStyle w:val="23"/>
              <w:rPr>
                <w:rFonts w:ascii="Times New Roman"/>
              </w:rPr>
            </w:pPr>
          </w:p>
        </w:tc>
        <w:tc>
          <w:tcPr>
            <w:tcW w:w="1799" w:type="dxa"/>
          </w:tcPr>
          <w:p>
            <w:pPr>
              <w:pStyle w:val="23"/>
              <w:rPr>
                <w:rFonts w:ascii="Times New Roman"/>
              </w:rPr>
            </w:pPr>
          </w:p>
        </w:tc>
        <w:tc>
          <w:tcPr>
            <w:tcW w:w="1029" w:type="dxa"/>
          </w:tcPr>
          <w:p>
            <w:pPr>
              <w:pStyle w:val="23"/>
              <w:rPr>
                <w:rFonts w:ascii="Times New Roman"/>
              </w:rPr>
            </w:pPr>
          </w:p>
        </w:tc>
        <w:tc>
          <w:tcPr>
            <w:tcW w:w="802" w:type="dxa"/>
          </w:tcPr>
          <w:p>
            <w:pPr>
              <w:pStyle w:val="23"/>
              <w:rPr>
                <w:rFonts w:ascii="Times New Roman"/>
              </w:rPr>
            </w:pPr>
          </w:p>
        </w:tc>
        <w:tc>
          <w:tcPr>
            <w:tcW w:w="1083" w:type="dxa"/>
          </w:tcPr>
          <w:p>
            <w:pPr>
              <w:pStyle w:val="23"/>
              <w:rPr>
                <w:rFonts w:ascii="Times New Roman"/>
              </w:rPr>
            </w:pPr>
          </w:p>
        </w:tc>
        <w:tc>
          <w:tcPr>
            <w:tcW w:w="1500" w:type="dxa"/>
          </w:tcPr>
          <w:p>
            <w:pPr>
              <w:pStyle w:val="23"/>
              <w:rPr>
                <w:rFonts w:ascii="Times New Roman"/>
              </w:rPr>
            </w:pPr>
          </w:p>
        </w:tc>
        <w:tc>
          <w:tcPr>
            <w:tcW w:w="917"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6331" w:type="dxa"/>
            <w:gridSpan w:val="6"/>
            <w:shd w:val="clear" w:color="auto" w:fill="D6D6D6"/>
          </w:tcPr>
          <w:p>
            <w:pPr>
              <w:pStyle w:val="23"/>
              <w:rPr>
                <w:sz w:val="24"/>
              </w:rPr>
            </w:pPr>
          </w:p>
          <w:p>
            <w:pPr>
              <w:pStyle w:val="23"/>
              <w:spacing w:before="8"/>
              <w:rPr>
                <w:sz w:val="24"/>
              </w:rPr>
            </w:pPr>
          </w:p>
          <w:p>
            <w:pPr>
              <w:pStyle w:val="23"/>
              <w:spacing w:before="1"/>
              <w:ind w:left="2424" w:right="2410"/>
              <w:jc w:val="center"/>
              <w:rPr>
                <w:b/>
                <w:sz w:val="24"/>
              </w:rPr>
            </w:pPr>
            <w:r>
              <w:rPr>
                <w:b/>
                <w:sz w:val="24"/>
              </w:rPr>
              <w:t>投标总价合计</w:t>
            </w:r>
          </w:p>
        </w:tc>
        <w:tc>
          <w:tcPr>
            <w:tcW w:w="2417" w:type="dxa"/>
            <w:gridSpan w:val="2"/>
            <w:shd w:val="clear" w:color="auto" w:fill="D6D6D6"/>
          </w:tcPr>
          <w:p>
            <w:pPr>
              <w:pStyle w:val="23"/>
              <w:spacing w:before="4"/>
              <w:rPr>
                <w:sz w:val="24"/>
              </w:rPr>
            </w:pPr>
          </w:p>
          <w:p>
            <w:pPr>
              <w:pStyle w:val="23"/>
              <w:ind w:left="107"/>
              <w:rPr>
                <w:b/>
                <w:sz w:val="24"/>
              </w:rPr>
            </w:pPr>
            <w:r>
              <w:rPr>
                <w:b/>
                <w:sz w:val="24"/>
              </w:rPr>
              <w:t>小写：￥</w:t>
            </w:r>
          </w:p>
          <w:p>
            <w:pPr>
              <w:pStyle w:val="23"/>
              <w:spacing w:before="6"/>
              <w:rPr>
                <w:sz w:val="24"/>
              </w:rPr>
            </w:pPr>
          </w:p>
          <w:p>
            <w:pPr>
              <w:pStyle w:val="23"/>
              <w:spacing w:before="1"/>
              <w:ind w:left="107"/>
              <w:rPr>
                <w:b/>
                <w:sz w:val="24"/>
              </w:rPr>
            </w:pPr>
            <w:r>
              <w:rPr>
                <w:b/>
                <w:sz w:val="24"/>
              </w:rPr>
              <w:t>大写：人民币</w:t>
            </w:r>
          </w:p>
        </w:tc>
      </w:tr>
    </w:tbl>
    <w:p>
      <w:pPr>
        <w:pStyle w:val="12"/>
        <w:spacing w:before="72"/>
        <w:ind w:left="760"/>
      </w:pPr>
      <w:r>
        <w:t>注：以上内容必须与《货物说明一览表》一致。</w:t>
      </w:r>
    </w:p>
    <w:p>
      <w:pPr>
        <w:pStyle w:val="12"/>
      </w:pPr>
    </w:p>
    <w:p>
      <w:pPr>
        <w:pStyle w:val="12"/>
      </w:pPr>
    </w:p>
    <w:p>
      <w:pPr>
        <w:pStyle w:val="12"/>
        <w:spacing w:before="4"/>
      </w:pPr>
    </w:p>
    <w:p>
      <w:pPr>
        <w:pStyle w:val="12"/>
        <w:ind w:left="4338"/>
      </w:pPr>
      <w:r>
        <w:t>投标人名称（加盖公章）：</w:t>
      </w:r>
    </w:p>
    <w:p>
      <w:pPr>
        <w:pStyle w:val="12"/>
        <w:spacing w:before="4"/>
        <w:rPr>
          <w:sz w:val="30"/>
        </w:rPr>
      </w:pPr>
    </w:p>
    <w:p>
      <w:pPr>
        <w:pStyle w:val="12"/>
        <w:tabs>
          <w:tab w:val="left" w:pos="5418"/>
          <w:tab w:val="left" w:pos="6018"/>
          <w:tab w:val="left" w:pos="6618"/>
        </w:tabs>
        <w:spacing w:line="602" w:lineRule="auto"/>
        <w:ind w:left="4338" w:right="1165"/>
      </w:pPr>
      <w:r>
        <w:t>投标人法定代表人或其授权代表（签字</w:t>
      </w:r>
      <w:r>
        <w:rPr>
          <w:spacing w:val="-9"/>
        </w:rPr>
        <w:t xml:space="preserve">）： </w:t>
      </w:r>
      <w:r>
        <w:t>日期：</w:t>
      </w:r>
      <w:r>
        <w:tab/>
      </w:r>
      <w:r>
        <w:t>年</w:t>
      </w:r>
      <w:r>
        <w:tab/>
      </w:r>
      <w:r>
        <w:t>月</w:t>
      </w:r>
      <w:r>
        <w:tab/>
      </w:r>
      <w:r>
        <w:t>日</w:t>
      </w:r>
    </w:p>
    <w:p>
      <w:pPr>
        <w:pStyle w:val="12"/>
        <w:rPr>
          <w:sz w:val="20"/>
        </w:rPr>
      </w:pPr>
    </w:p>
    <w:p>
      <w:pPr>
        <w:pStyle w:val="12"/>
        <w:spacing w:before="9"/>
        <w:rPr>
          <w:sz w:val="26"/>
          <w:lang w:val="en-US"/>
        </w:rPr>
      </w:pPr>
    </w:p>
    <w:sectPr>
      <w:footerReference r:id="rId16" w:type="default"/>
      <w:pgSz w:w="11910" w:h="16840"/>
      <w:pgMar w:top="1380" w:right="800" w:bottom="1060" w:left="1040" w:header="924" w:footer="8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shape id="_x0000_s2051" o:spid="_x0000_s2051" o:spt="202" type="#_x0000_t202" style="position:absolute;left:0pt;margin-top:788.25pt;height:11pt;width:8.6pt;mso-position-horizontal:center;mso-position-horizontal-relative:margin;mso-position-vertical-relative:page;z-index:244752384;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2</w:t>
                </w:r>
                <w:r>
                  <w:fldChar w:fldCharType="end"/>
                </w:r>
              </w:p>
            </w:txbxContent>
          </v:textbox>
        </v:shape>
      </w:pict>
    </w:r>
    <w:r>
      <w:rPr>
        <w:rFonts w:hint="eastAsia"/>
        <w:sz w:val="20"/>
        <w:lang w:val="en-US"/>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line id="_x0000_s2160" o:spid="_x0000_s2160" o:spt="20" style="position:absolute;left:0pt;margin-left:90pt;margin-top:786.9pt;height:0pt;width:415.3pt;mso-position-horizontal-relative:page;mso-position-vertical-relative:page;z-index:-258422784;mso-width-relative:page;mso-height-relative:page;" coordsize="21600,21600">
          <v:path arrowok="t"/>
          <v:fill focussize="0,0"/>
          <v:stroke weight="0.48pt"/>
          <v:imagedata o:title=""/>
          <o:lock v:ext="edit"/>
        </v:line>
      </w:pict>
    </w:r>
    <w:r>
      <w:pict>
        <v:shape id="_x0000_s2161" o:spid="_x0000_s2161" o:spt="202" type="#_x0000_t202" style="position:absolute;left:0pt;margin-top:788.25pt;height:11pt;width:13.15pt;mso-position-horizontal:center;mso-position-horizontal-relative:margin;mso-position-vertical-relative:page;z-index:244894720;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98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line id="_x0000_s2164" o:spid="_x0000_s2164" o:spt="20" style="position:absolute;left:0pt;margin-left:90pt;margin-top:778.4pt;height:0pt;width:415.3pt;mso-position-horizontal-relative:page;mso-position-vertical-relative:page;z-index:-258414592;mso-width-relative:page;mso-height-relative:page;" coordsize="21600,21600">
          <v:path arrowok="t"/>
          <v:fill focussize="0,0"/>
          <v:stroke weight="0.48pt"/>
          <v:imagedata o:title=""/>
          <o:lock v:ext="edit"/>
        </v:line>
      </w:pict>
    </w:r>
    <w:r>
      <w:pict>
        <v:shape id="_x0000_s2166" o:spid="_x0000_s2166" o:spt="202" type="#_x0000_t202" style="position:absolute;left:0pt;margin-top:779.7pt;height:11pt;width:17.7pt;mso-position-horizontal:center;mso-position-horizontal-relative:margin;mso-position-vertical-relative:page;z-index:24490393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6"/>
      </w:rPr>
    </w:pPr>
    <w:r>
      <w:pict>
        <v:shape id="_x0000_s2168" o:spid="_x0000_s2168" o:spt="202" type="#_x0000_t202" style="position:absolute;left:0pt;margin-top:779.7pt;height:19.55pt;width:17.7pt;mso-position-horizontal:center;mso-position-horizontal-relative:margin;mso-position-vertical-relative:page;z-index:244910080;mso-width-relative:page;mso-height-relative:page;" filled="f" stroked="f" coordsize="21600,21600">
          <v:path/>
          <v:fill on="f" focussize="0,0"/>
          <v:stroke on="f" joinstyle="miter"/>
          <v:imagedata o:title=""/>
          <o:lock v:ext="edit"/>
          <v:textbox inset="0mm,0mm,0mm,0mm">
            <w:txbxContent>
              <w:p>
                <w:pPr>
                  <w:spacing w:before="154"/>
                  <w:ind w:left="40"/>
                  <w:rPr>
                    <w:rFonts w:ascii="Calibri"/>
                    <w:sz w:val="18"/>
                  </w:rPr>
                </w:pPr>
                <w:r>
                  <w:fldChar w:fldCharType="begin"/>
                </w:r>
                <w:r>
                  <w:rPr>
                    <w:rFonts w:ascii="Calibri"/>
                    <w:sz w:val="18"/>
                  </w:rPr>
                  <w:instrText xml:space="preserve"> PAGE </w:instrText>
                </w:r>
                <w:r>
                  <w:fldChar w:fldCharType="separate"/>
                </w:r>
                <w:r>
                  <w:t>107</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6"/>
      </w:rPr>
    </w:pPr>
    <w:r>
      <w:pict>
        <v:shape id="_x0000_s2126" o:spid="_x0000_s2126" o:spt="202" type="#_x0000_t202" style="position:absolute;left:0pt;margin-top:779.7pt;height:19.55pt;width:17.7pt;mso-position-horizontal:center;mso-position-horizontal-relative:margin;mso-position-vertical-relative:page;z-index:244829184;mso-width-relative:page;mso-height-relative:page;" filled="f" stroked="f" coordsize="21600,21600">
          <v:path/>
          <v:fill on="f" focussize="0,0"/>
          <v:stroke on="f" joinstyle="miter"/>
          <v:imagedata o:title=""/>
          <o:lock v:ext="edit"/>
          <v:textbox inset="0mm,0mm,0mm,0mm">
            <w:txbxContent>
              <w:p>
                <w:pPr>
                  <w:spacing w:before="154"/>
                  <w:ind w:left="40"/>
                  <w:rPr>
                    <w:rFonts w:ascii="Calibri"/>
                    <w:sz w:val="18"/>
                  </w:rPr>
                </w:pPr>
                <w:r>
                  <w:fldChar w:fldCharType="begin"/>
                </w:r>
                <w:r>
                  <w:rPr>
                    <w:rFonts w:ascii="Calibri"/>
                    <w:sz w:val="18"/>
                  </w:rPr>
                  <w:instrText xml:space="preserve"> PAGE </w:instrText>
                </w:r>
                <w:r>
                  <w:fldChar w:fldCharType="separate"/>
                </w:r>
                <w:r>
                  <w:t>107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lang w:val="en-US"/>
      </w:rPr>
    </w:pPr>
    <w:r>
      <w:pict>
        <v:line id="_x0000_s2054" o:spid="_x0000_s2054" o:spt="20" style="position:absolute;left:0pt;margin-left:90pt;margin-top:786.9pt;height:0pt;width:394.3pt;mso-position-horizontal-relative:page;mso-position-vertical-relative:page;z-index:-258561024;mso-width-relative:page;mso-height-relative:page;" coordsize="21600,21600">
          <v:path arrowok="t"/>
          <v:fill focussize="0,0"/>
          <v:stroke weight="0.48pt"/>
          <v:imagedata o:title=""/>
          <o:lock v:ext="edit"/>
        </v:line>
      </w:pict>
    </w:r>
    <w:r>
      <w:pict>
        <v:shape id="_x0000_s2055" o:spid="_x0000_s2055" o:spt="202" type="#_x0000_t202" style="position:absolute;left:0pt;margin-top:788.25pt;height:11pt;width:8.6pt;mso-position-horizontal:center;mso-position-horizontal-relative:margin;mso-position-vertical-relative:page;z-index:244756480;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2169" o:spid="_x0000_s2169" o:spt="202" type="#_x0000_t202" style="position:absolute;left:0pt;margin-top:0pt;height:144pt;width:144pt;mso-position-horizontal:center;mso-position-horizontal-relative:margin;mso-wrap-style:none;z-index:250237952;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hAnsi="仿宋" w:eastAsia="仿宋" w:cs="仿宋"/>
        <w:sz w:val="20"/>
        <w:szCs w:val="24"/>
      </w:rPr>
    </w:pPr>
    <w:r>
      <w:rPr>
        <w:rFonts w:ascii="仿宋" w:hAnsi="仿宋" w:eastAsia="仿宋" w:cs="仿宋"/>
        <w:sz w:val="24"/>
        <w:szCs w:val="24"/>
      </w:rPr>
      <w:pict>
        <v:shape id="_x0000_s2144" o:spid="_x0000_s2144" o:spt="202" type="#_x0000_t202" style="position:absolute;left:0pt;margin-top:784.55pt;height:12.9pt;width:13.85pt;mso-position-horizontal:center;mso-position-horizontal-relative:margin;mso-position-vertical-relative:page;z-index:250234880;mso-width-relative:page;mso-height-relative:page;" filled="f" stroked="f" coordsize="21600,21600">
          <v:path/>
          <v:fill on="f" focussize="0,0"/>
          <v:stroke on="f" joinstyle="miter"/>
          <v:imagedata o:title=""/>
          <o:lock v:ext="edit"/>
          <v:textbox inset="0mm,0mm,0mm,0mm">
            <w:txbxContent>
              <w:p>
                <w:pPr>
                  <w:spacing w:before="20"/>
                  <w:ind w:left="40"/>
                  <w:rPr>
                    <w:rFonts w:ascii="Tahoma" w:hAnsi="仿宋" w:eastAsia="仿宋" w:cs="仿宋"/>
                    <w:sz w:val="18"/>
                  </w:rPr>
                </w:pPr>
                <w:r>
                  <w:rPr>
                    <w:rFonts w:ascii="仿宋" w:hAnsi="仿宋" w:eastAsia="仿宋" w:cs="仿宋"/>
                  </w:rPr>
                  <w:fldChar w:fldCharType="begin"/>
                </w:r>
                <w:r>
                  <w:rPr>
                    <w:rFonts w:ascii="Tahoma" w:hAnsi="仿宋" w:eastAsia="仿宋" w:cs="仿宋"/>
                    <w:sz w:val="18"/>
                  </w:rPr>
                  <w:instrText xml:space="preserve"> PAGE </w:instrText>
                </w:r>
                <w:r>
                  <w:rPr>
                    <w:rFonts w:ascii="仿宋" w:hAnsi="仿宋" w:eastAsia="仿宋" w:cs="仿宋"/>
                  </w:rPr>
                  <w:fldChar w:fldCharType="separate"/>
                </w:r>
                <w:r>
                  <w:rPr>
                    <w:rFonts w:ascii="仿宋" w:hAnsi="仿宋" w:eastAsia="仿宋" w:cs="仿宋"/>
                  </w:rPr>
                  <w:t>10</w:t>
                </w:r>
                <w:r>
                  <w:rPr>
                    <w:rFonts w:ascii="仿宋" w:hAnsi="仿宋" w:eastAsia="仿宋" w:cs="仿宋"/>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hAnsi="仿宋" w:eastAsia="仿宋" w:cs="仿宋"/>
        <w:sz w:val="14"/>
        <w:szCs w:val="24"/>
      </w:rPr>
    </w:pPr>
    <w:r>
      <w:rPr>
        <w:rFonts w:ascii="仿宋" w:hAnsi="仿宋" w:eastAsia="仿宋" w:cs="仿宋"/>
        <w:sz w:val="24"/>
        <w:szCs w:val="24"/>
      </w:rPr>
      <w:pict>
        <v:shape id="_x0000_s2146" o:spid="_x0000_s2146" o:spt="202" type="#_x0000_t202" style="position:absolute;left:0pt;margin-top:784.55pt;height:12.9pt;width:13.85pt;mso-position-horizontal:center;mso-position-horizontal-relative:margin;mso-position-vertical-relative:page;z-index:250236928;mso-width-relative:page;mso-height-relative:page;" filled="f" stroked="f" coordsize="21600,21600">
          <v:path/>
          <v:fill on="f" focussize="0,0"/>
          <v:stroke on="f" joinstyle="miter"/>
          <v:imagedata o:title=""/>
          <o:lock v:ext="edit"/>
          <v:textbox inset="0mm,0mm,0mm,0mm">
            <w:txbxContent>
              <w:p>
                <w:pPr>
                  <w:spacing w:before="20"/>
                  <w:ind w:left="40"/>
                  <w:rPr>
                    <w:rFonts w:ascii="Tahoma" w:hAnsi="仿宋" w:eastAsia="仿宋" w:cs="仿宋"/>
                    <w:sz w:val="18"/>
                  </w:rPr>
                </w:pPr>
                <w:r>
                  <w:rPr>
                    <w:rFonts w:ascii="仿宋" w:hAnsi="仿宋" w:eastAsia="仿宋" w:cs="仿宋"/>
                  </w:rPr>
                  <w:fldChar w:fldCharType="begin"/>
                </w:r>
                <w:r>
                  <w:rPr>
                    <w:rFonts w:ascii="Tahoma" w:hAnsi="仿宋" w:eastAsia="仿宋" w:cs="仿宋"/>
                    <w:sz w:val="18"/>
                  </w:rPr>
                  <w:instrText xml:space="preserve"> PAGE </w:instrText>
                </w:r>
                <w:r>
                  <w:rPr>
                    <w:rFonts w:ascii="仿宋" w:hAnsi="仿宋" w:eastAsia="仿宋" w:cs="仿宋"/>
                  </w:rPr>
                  <w:fldChar w:fldCharType="separate"/>
                </w:r>
                <w:r>
                  <w:rPr>
                    <w:rFonts w:ascii="仿宋" w:hAnsi="仿宋" w:eastAsia="仿宋" w:cs="仿宋"/>
                  </w:rPr>
                  <w:t>35</w:t>
                </w:r>
                <w:r>
                  <w:rPr>
                    <w:rFonts w:ascii="仿宋" w:hAnsi="仿宋" w:eastAsia="仿宋" w:cs="仿宋"/>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line id="_x0000_s2074" o:spid="_x0000_s2074" o:spt="20" style="position:absolute;left:0pt;margin-left:90pt;margin-top:786.9pt;height:0pt;width:415.3pt;mso-position-horizontal-relative:page;mso-position-vertical-relative:page;z-index:-258540544;mso-width-relative:page;mso-height-relative:page;" coordsize="21600,21600">
          <v:path arrowok="t"/>
          <v:fill focussize="0,0"/>
          <v:stroke weight="0.48pt"/>
          <v:imagedata o:title=""/>
          <o:lock v:ext="edit"/>
        </v:line>
      </w:pict>
    </w:r>
    <w:r>
      <w:pict>
        <v:shape id="_x0000_s2075" o:spid="_x0000_s2075" o:spt="202" type="#_x0000_t202" style="position:absolute;left:0pt;margin-top:788.25pt;height:11pt;width:13.15pt;mso-position-horizontal:center;mso-position-horizontal-relative:margin;mso-position-vertical-relative:page;z-index:244776960;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shape id="_x0000_s2079" o:spid="_x0000_s2079" o:spt="202" type="#_x0000_t202" style="position:absolute;left:0pt;margin-top:788.25pt;height:11pt;width:13.15pt;mso-position-horizontal:center;mso-position-horizontal-relative:margin;mso-position-vertical-relative:page;z-index:24478105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line id="_x0000_s2082" o:spid="_x0000_s2082" o:spt="20" style="position:absolute;left:0pt;margin-left:90pt;margin-top:786.9pt;height:0pt;width:415.3pt;mso-position-horizontal-relative:page;mso-position-vertical-relative:page;z-index:-258532352;mso-width-relative:page;mso-height-relative:page;" coordsize="21600,21600">
          <v:path arrowok="t"/>
          <v:fill focussize="0,0"/>
          <v:stroke weight="0.48pt"/>
          <v:imagedata o:title=""/>
          <o:lock v:ext="edit"/>
        </v:line>
      </w:pict>
    </w:r>
    <w:r>
      <w:pict>
        <v:shape id="_x0000_s2083" o:spid="_x0000_s2083" o:spt="202" type="#_x0000_t202" style="position:absolute;left:0pt;margin-top:788.25pt;height:11pt;width:13.15pt;mso-position-horizontal:center;mso-position-horizontal-relative:margin;mso-position-vertical-relative:page;z-index:244785152;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line id="_x0000_s2156" o:spid="_x0000_s2156" o:spt="20" style="position:absolute;left:0pt;margin-left:90pt;margin-top:786.9pt;height:0pt;width:415.3pt;mso-position-horizontal-relative:page;mso-position-vertical-relative:page;z-index:-258430976;mso-width-relative:page;mso-height-relative:page;" coordsize="21600,21600">
          <v:path arrowok="t"/>
          <v:fill focussize="0,0"/>
          <v:stroke weight="0.48pt"/>
          <v:imagedata o:title=""/>
          <o:lock v:ext="edit"/>
        </v:line>
      </w:pict>
    </w:r>
    <w:r>
      <w:pict>
        <v:shape id="_x0000_s2157" o:spid="_x0000_s2157" o:spt="202" type="#_x0000_t202" style="position:absolute;left:0pt;margin-top:788.25pt;height:11pt;width:13.15pt;mso-position-horizontal:center;mso-position-horizontal-relative:margin;mso-position-vertical-relative:page;z-index:244886528;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94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lowerLetter"/>
      <w:lvlText w:val="%1)"/>
      <w:lvlJc w:val="left"/>
      <w:pPr>
        <w:ind w:left="744" w:hanging="512"/>
      </w:pPr>
      <w:rPr>
        <w:rFonts w:hint="default" w:ascii="宋体" w:hAnsi="宋体" w:eastAsia="宋体" w:cs="宋体"/>
        <w:w w:val="100"/>
        <w:sz w:val="21"/>
        <w:szCs w:val="21"/>
        <w:lang w:val="zh-CN" w:eastAsia="zh-CN" w:bidi="zh-CN"/>
      </w:rPr>
    </w:lvl>
    <w:lvl w:ilvl="1" w:tentative="0">
      <w:start w:val="0"/>
      <w:numFmt w:val="bullet"/>
      <w:lvlText w:val="•"/>
      <w:lvlJc w:val="left"/>
      <w:pPr>
        <w:ind w:left="1680" w:hanging="512"/>
      </w:pPr>
      <w:rPr>
        <w:rFonts w:hint="default"/>
        <w:lang w:val="zh-CN" w:eastAsia="zh-CN" w:bidi="zh-CN"/>
      </w:rPr>
    </w:lvl>
    <w:lvl w:ilvl="2" w:tentative="0">
      <w:start w:val="0"/>
      <w:numFmt w:val="bullet"/>
      <w:lvlText w:val="•"/>
      <w:lvlJc w:val="left"/>
      <w:pPr>
        <w:ind w:left="2621" w:hanging="512"/>
      </w:pPr>
      <w:rPr>
        <w:rFonts w:hint="default"/>
        <w:lang w:val="zh-CN" w:eastAsia="zh-CN" w:bidi="zh-CN"/>
      </w:rPr>
    </w:lvl>
    <w:lvl w:ilvl="3" w:tentative="0">
      <w:start w:val="0"/>
      <w:numFmt w:val="bullet"/>
      <w:lvlText w:val="•"/>
      <w:lvlJc w:val="left"/>
      <w:pPr>
        <w:ind w:left="3561" w:hanging="512"/>
      </w:pPr>
      <w:rPr>
        <w:rFonts w:hint="default"/>
        <w:lang w:val="zh-CN" w:eastAsia="zh-CN" w:bidi="zh-CN"/>
      </w:rPr>
    </w:lvl>
    <w:lvl w:ilvl="4" w:tentative="0">
      <w:start w:val="0"/>
      <w:numFmt w:val="bullet"/>
      <w:lvlText w:val="•"/>
      <w:lvlJc w:val="left"/>
      <w:pPr>
        <w:ind w:left="4502" w:hanging="512"/>
      </w:pPr>
      <w:rPr>
        <w:rFonts w:hint="default"/>
        <w:lang w:val="zh-CN" w:eastAsia="zh-CN" w:bidi="zh-CN"/>
      </w:rPr>
    </w:lvl>
    <w:lvl w:ilvl="5" w:tentative="0">
      <w:start w:val="0"/>
      <w:numFmt w:val="bullet"/>
      <w:lvlText w:val="•"/>
      <w:lvlJc w:val="left"/>
      <w:pPr>
        <w:ind w:left="5443" w:hanging="512"/>
      </w:pPr>
      <w:rPr>
        <w:rFonts w:hint="default"/>
        <w:lang w:val="zh-CN" w:eastAsia="zh-CN" w:bidi="zh-CN"/>
      </w:rPr>
    </w:lvl>
    <w:lvl w:ilvl="6" w:tentative="0">
      <w:start w:val="0"/>
      <w:numFmt w:val="bullet"/>
      <w:lvlText w:val="•"/>
      <w:lvlJc w:val="left"/>
      <w:pPr>
        <w:ind w:left="6383" w:hanging="512"/>
      </w:pPr>
      <w:rPr>
        <w:rFonts w:hint="default"/>
        <w:lang w:val="zh-CN" w:eastAsia="zh-CN" w:bidi="zh-CN"/>
      </w:rPr>
    </w:lvl>
    <w:lvl w:ilvl="7" w:tentative="0">
      <w:start w:val="0"/>
      <w:numFmt w:val="bullet"/>
      <w:lvlText w:val="•"/>
      <w:lvlJc w:val="left"/>
      <w:pPr>
        <w:ind w:left="7324" w:hanging="512"/>
      </w:pPr>
      <w:rPr>
        <w:rFonts w:hint="default"/>
        <w:lang w:val="zh-CN" w:eastAsia="zh-CN" w:bidi="zh-CN"/>
      </w:rPr>
    </w:lvl>
    <w:lvl w:ilvl="8" w:tentative="0">
      <w:start w:val="0"/>
      <w:numFmt w:val="bullet"/>
      <w:lvlText w:val="•"/>
      <w:lvlJc w:val="left"/>
      <w:pPr>
        <w:ind w:left="8265" w:hanging="512"/>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8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662" w:hanging="601"/>
      </w:pPr>
      <w:rPr>
        <w:rFonts w:hint="default"/>
        <w:lang w:val="zh-CN" w:eastAsia="zh-CN" w:bidi="zh-CN"/>
      </w:rPr>
    </w:lvl>
    <w:lvl w:ilvl="2" w:tentative="0">
      <w:start w:val="0"/>
      <w:numFmt w:val="bullet"/>
      <w:lvlText w:val="•"/>
      <w:lvlJc w:val="left"/>
      <w:pPr>
        <w:ind w:left="3485" w:hanging="601"/>
      </w:pPr>
      <w:rPr>
        <w:rFonts w:hint="default"/>
        <w:lang w:val="zh-CN" w:eastAsia="zh-CN" w:bidi="zh-CN"/>
      </w:rPr>
    </w:lvl>
    <w:lvl w:ilvl="3" w:tentative="0">
      <w:start w:val="0"/>
      <w:numFmt w:val="bullet"/>
      <w:lvlText w:val="•"/>
      <w:lvlJc w:val="left"/>
      <w:pPr>
        <w:ind w:left="4307" w:hanging="601"/>
      </w:pPr>
      <w:rPr>
        <w:rFonts w:hint="default"/>
        <w:lang w:val="zh-CN" w:eastAsia="zh-CN" w:bidi="zh-CN"/>
      </w:rPr>
    </w:lvl>
    <w:lvl w:ilvl="4" w:tentative="0">
      <w:start w:val="0"/>
      <w:numFmt w:val="bullet"/>
      <w:lvlText w:val="•"/>
      <w:lvlJc w:val="left"/>
      <w:pPr>
        <w:ind w:left="5130" w:hanging="601"/>
      </w:pPr>
      <w:rPr>
        <w:rFonts w:hint="default"/>
        <w:lang w:val="zh-CN" w:eastAsia="zh-CN" w:bidi="zh-CN"/>
      </w:rPr>
    </w:lvl>
    <w:lvl w:ilvl="5" w:tentative="0">
      <w:start w:val="0"/>
      <w:numFmt w:val="bullet"/>
      <w:lvlText w:val="•"/>
      <w:lvlJc w:val="left"/>
      <w:pPr>
        <w:ind w:left="5953" w:hanging="601"/>
      </w:pPr>
      <w:rPr>
        <w:rFonts w:hint="default"/>
        <w:lang w:val="zh-CN" w:eastAsia="zh-CN" w:bidi="zh-CN"/>
      </w:rPr>
    </w:lvl>
    <w:lvl w:ilvl="6" w:tentative="0">
      <w:start w:val="0"/>
      <w:numFmt w:val="bullet"/>
      <w:lvlText w:val="•"/>
      <w:lvlJc w:val="left"/>
      <w:pPr>
        <w:ind w:left="6775" w:hanging="601"/>
      </w:pPr>
      <w:rPr>
        <w:rFonts w:hint="default"/>
        <w:lang w:val="zh-CN" w:eastAsia="zh-CN" w:bidi="zh-CN"/>
      </w:rPr>
    </w:lvl>
    <w:lvl w:ilvl="7" w:tentative="0">
      <w:start w:val="0"/>
      <w:numFmt w:val="bullet"/>
      <w:lvlText w:val="•"/>
      <w:lvlJc w:val="left"/>
      <w:pPr>
        <w:ind w:left="7598" w:hanging="601"/>
      </w:pPr>
      <w:rPr>
        <w:rFonts w:hint="default"/>
        <w:lang w:val="zh-CN" w:eastAsia="zh-CN" w:bidi="zh-CN"/>
      </w:rPr>
    </w:lvl>
    <w:lvl w:ilvl="8" w:tentative="0">
      <w:start w:val="0"/>
      <w:numFmt w:val="bullet"/>
      <w:lvlText w:val="•"/>
      <w:lvlJc w:val="left"/>
      <w:pPr>
        <w:ind w:left="8420" w:hanging="601"/>
      </w:pPr>
      <w:rPr>
        <w:rFonts w:hint="default"/>
        <w:lang w:val="zh-CN" w:eastAsia="zh-CN" w:bidi="zh-CN"/>
      </w:rPr>
    </w:lvl>
  </w:abstractNum>
  <w:abstractNum w:abstractNumId="2">
    <w:nsid w:val="9288B902"/>
    <w:multiLevelType w:val="multilevel"/>
    <w:tmpl w:val="9288B902"/>
    <w:lvl w:ilvl="0" w:tentative="0">
      <w:start w:val="1"/>
      <w:numFmt w:val="decimal"/>
      <w:lvlText w:val="（%1）"/>
      <w:lvlJc w:val="left"/>
      <w:pPr>
        <w:ind w:left="17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608" w:hanging="601"/>
      </w:pPr>
      <w:rPr>
        <w:rFonts w:hint="default"/>
        <w:lang w:val="zh-CN" w:eastAsia="zh-CN" w:bidi="zh-CN"/>
      </w:rPr>
    </w:lvl>
    <w:lvl w:ilvl="2" w:tentative="0">
      <w:start w:val="0"/>
      <w:numFmt w:val="bullet"/>
      <w:lvlText w:val="•"/>
      <w:lvlJc w:val="left"/>
      <w:pPr>
        <w:ind w:left="3437" w:hanging="601"/>
      </w:pPr>
      <w:rPr>
        <w:rFonts w:hint="default"/>
        <w:lang w:val="zh-CN" w:eastAsia="zh-CN" w:bidi="zh-CN"/>
      </w:rPr>
    </w:lvl>
    <w:lvl w:ilvl="3" w:tentative="0">
      <w:start w:val="0"/>
      <w:numFmt w:val="bullet"/>
      <w:lvlText w:val="•"/>
      <w:lvlJc w:val="left"/>
      <w:pPr>
        <w:ind w:left="4265" w:hanging="601"/>
      </w:pPr>
      <w:rPr>
        <w:rFonts w:hint="default"/>
        <w:lang w:val="zh-CN" w:eastAsia="zh-CN" w:bidi="zh-CN"/>
      </w:rPr>
    </w:lvl>
    <w:lvl w:ilvl="4" w:tentative="0">
      <w:start w:val="0"/>
      <w:numFmt w:val="bullet"/>
      <w:lvlText w:val="•"/>
      <w:lvlJc w:val="left"/>
      <w:pPr>
        <w:ind w:left="5094" w:hanging="601"/>
      </w:pPr>
      <w:rPr>
        <w:rFonts w:hint="default"/>
        <w:lang w:val="zh-CN" w:eastAsia="zh-CN" w:bidi="zh-CN"/>
      </w:rPr>
    </w:lvl>
    <w:lvl w:ilvl="5" w:tentative="0">
      <w:start w:val="0"/>
      <w:numFmt w:val="bullet"/>
      <w:lvlText w:val="•"/>
      <w:lvlJc w:val="left"/>
      <w:pPr>
        <w:ind w:left="5923" w:hanging="601"/>
      </w:pPr>
      <w:rPr>
        <w:rFonts w:hint="default"/>
        <w:lang w:val="zh-CN" w:eastAsia="zh-CN" w:bidi="zh-CN"/>
      </w:rPr>
    </w:lvl>
    <w:lvl w:ilvl="6" w:tentative="0">
      <w:start w:val="0"/>
      <w:numFmt w:val="bullet"/>
      <w:lvlText w:val="•"/>
      <w:lvlJc w:val="left"/>
      <w:pPr>
        <w:ind w:left="6751" w:hanging="601"/>
      </w:pPr>
      <w:rPr>
        <w:rFonts w:hint="default"/>
        <w:lang w:val="zh-CN" w:eastAsia="zh-CN" w:bidi="zh-CN"/>
      </w:rPr>
    </w:lvl>
    <w:lvl w:ilvl="7" w:tentative="0">
      <w:start w:val="0"/>
      <w:numFmt w:val="bullet"/>
      <w:lvlText w:val="•"/>
      <w:lvlJc w:val="left"/>
      <w:pPr>
        <w:ind w:left="7580" w:hanging="601"/>
      </w:pPr>
      <w:rPr>
        <w:rFonts w:hint="default"/>
        <w:lang w:val="zh-CN" w:eastAsia="zh-CN" w:bidi="zh-CN"/>
      </w:rPr>
    </w:lvl>
    <w:lvl w:ilvl="8" w:tentative="0">
      <w:start w:val="0"/>
      <w:numFmt w:val="bullet"/>
      <w:lvlText w:val="•"/>
      <w:lvlJc w:val="left"/>
      <w:pPr>
        <w:ind w:left="8408" w:hanging="601"/>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18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662" w:hanging="601"/>
      </w:pPr>
      <w:rPr>
        <w:rFonts w:hint="default"/>
        <w:lang w:val="zh-CN" w:eastAsia="zh-CN" w:bidi="zh-CN"/>
      </w:rPr>
    </w:lvl>
    <w:lvl w:ilvl="2" w:tentative="0">
      <w:start w:val="0"/>
      <w:numFmt w:val="bullet"/>
      <w:lvlText w:val="•"/>
      <w:lvlJc w:val="left"/>
      <w:pPr>
        <w:ind w:left="3485" w:hanging="601"/>
      </w:pPr>
      <w:rPr>
        <w:rFonts w:hint="default"/>
        <w:lang w:val="zh-CN" w:eastAsia="zh-CN" w:bidi="zh-CN"/>
      </w:rPr>
    </w:lvl>
    <w:lvl w:ilvl="3" w:tentative="0">
      <w:start w:val="0"/>
      <w:numFmt w:val="bullet"/>
      <w:lvlText w:val="•"/>
      <w:lvlJc w:val="left"/>
      <w:pPr>
        <w:ind w:left="4307" w:hanging="601"/>
      </w:pPr>
      <w:rPr>
        <w:rFonts w:hint="default"/>
        <w:lang w:val="zh-CN" w:eastAsia="zh-CN" w:bidi="zh-CN"/>
      </w:rPr>
    </w:lvl>
    <w:lvl w:ilvl="4" w:tentative="0">
      <w:start w:val="0"/>
      <w:numFmt w:val="bullet"/>
      <w:lvlText w:val="•"/>
      <w:lvlJc w:val="left"/>
      <w:pPr>
        <w:ind w:left="5130" w:hanging="601"/>
      </w:pPr>
      <w:rPr>
        <w:rFonts w:hint="default"/>
        <w:lang w:val="zh-CN" w:eastAsia="zh-CN" w:bidi="zh-CN"/>
      </w:rPr>
    </w:lvl>
    <w:lvl w:ilvl="5" w:tentative="0">
      <w:start w:val="0"/>
      <w:numFmt w:val="bullet"/>
      <w:lvlText w:val="•"/>
      <w:lvlJc w:val="left"/>
      <w:pPr>
        <w:ind w:left="5953" w:hanging="601"/>
      </w:pPr>
      <w:rPr>
        <w:rFonts w:hint="default"/>
        <w:lang w:val="zh-CN" w:eastAsia="zh-CN" w:bidi="zh-CN"/>
      </w:rPr>
    </w:lvl>
    <w:lvl w:ilvl="6" w:tentative="0">
      <w:start w:val="0"/>
      <w:numFmt w:val="bullet"/>
      <w:lvlText w:val="•"/>
      <w:lvlJc w:val="left"/>
      <w:pPr>
        <w:ind w:left="6775" w:hanging="601"/>
      </w:pPr>
      <w:rPr>
        <w:rFonts w:hint="default"/>
        <w:lang w:val="zh-CN" w:eastAsia="zh-CN" w:bidi="zh-CN"/>
      </w:rPr>
    </w:lvl>
    <w:lvl w:ilvl="7" w:tentative="0">
      <w:start w:val="0"/>
      <w:numFmt w:val="bullet"/>
      <w:lvlText w:val="•"/>
      <w:lvlJc w:val="left"/>
      <w:pPr>
        <w:ind w:left="7598" w:hanging="601"/>
      </w:pPr>
      <w:rPr>
        <w:rFonts w:hint="default"/>
        <w:lang w:val="zh-CN" w:eastAsia="zh-CN" w:bidi="zh-CN"/>
      </w:rPr>
    </w:lvl>
    <w:lvl w:ilvl="8" w:tentative="0">
      <w:start w:val="0"/>
      <w:numFmt w:val="bullet"/>
      <w:lvlText w:val="•"/>
      <w:lvlJc w:val="left"/>
      <w:pPr>
        <w:ind w:left="8420" w:hanging="601"/>
      </w:pPr>
      <w:rPr>
        <w:rFonts w:hint="default"/>
        <w:lang w:val="zh-CN" w:eastAsia="zh-CN" w:bidi="zh-CN"/>
      </w:rPr>
    </w:lvl>
  </w:abstractNum>
  <w:abstractNum w:abstractNumId="4">
    <w:nsid w:val="B1D597FF"/>
    <w:multiLevelType w:val="multilevel"/>
    <w:tmpl w:val="B1D597FF"/>
    <w:lvl w:ilvl="0" w:tentative="0">
      <w:start w:val="1"/>
      <w:numFmt w:val="decimal"/>
      <w:lvlText w:val="43.%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BE923771"/>
    <w:multiLevelType w:val="multilevel"/>
    <w:tmpl w:val="BE923771"/>
    <w:lvl w:ilvl="0" w:tentative="0">
      <w:start w:val="1"/>
      <w:numFmt w:val="decimal"/>
      <w:lvlText w:val="%1."/>
      <w:lvlJc w:val="left"/>
      <w:pPr>
        <w:ind w:left="1480" w:hanging="300"/>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667" w:hanging="488"/>
      </w:pPr>
      <w:rPr>
        <w:rFonts w:hint="default" w:ascii="宋体" w:hAnsi="宋体" w:eastAsia="宋体" w:cs="宋体"/>
        <w:w w:val="100"/>
        <w:sz w:val="24"/>
        <w:szCs w:val="24"/>
        <w:lang w:val="zh-CN" w:eastAsia="zh-CN" w:bidi="zh-CN"/>
      </w:rPr>
    </w:lvl>
    <w:lvl w:ilvl="2" w:tentative="0">
      <w:start w:val="0"/>
      <w:numFmt w:val="bullet"/>
      <w:lvlText w:val="•"/>
      <w:lvlJc w:val="left"/>
      <w:pPr>
        <w:ind w:left="1980" w:hanging="488"/>
      </w:pPr>
      <w:rPr>
        <w:rFonts w:hint="default"/>
        <w:lang w:val="zh-CN" w:eastAsia="zh-CN" w:bidi="zh-CN"/>
      </w:rPr>
    </w:lvl>
    <w:lvl w:ilvl="3" w:tentative="0">
      <w:start w:val="0"/>
      <w:numFmt w:val="bullet"/>
      <w:lvlText w:val="•"/>
      <w:lvlJc w:val="left"/>
      <w:pPr>
        <w:ind w:left="2990" w:hanging="488"/>
      </w:pPr>
      <w:rPr>
        <w:rFonts w:hint="default"/>
        <w:lang w:val="zh-CN" w:eastAsia="zh-CN" w:bidi="zh-CN"/>
      </w:rPr>
    </w:lvl>
    <w:lvl w:ilvl="4" w:tentative="0">
      <w:start w:val="0"/>
      <w:numFmt w:val="bullet"/>
      <w:lvlText w:val="•"/>
      <w:lvlJc w:val="left"/>
      <w:pPr>
        <w:ind w:left="4001" w:hanging="488"/>
      </w:pPr>
      <w:rPr>
        <w:rFonts w:hint="default"/>
        <w:lang w:val="zh-CN" w:eastAsia="zh-CN" w:bidi="zh-CN"/>
      </w:rPr>
    </w:lvl>
    <w:lvl w:ilvl="5" w:tentative="0">
      <w:start w:val="0"/>
      <w:numFmt w:val="bullet"/>
      <w:lvlText w:val="•"/>
      <w:lvlJc w:val="left"/>
      <w:pPr>
        <w:ind w:left="5012" w:hanging="488"/>
      </w:pPr>
      <w:rPr>
        <w:rFonts w:hint="default"/>
        <w:lang w:val="zh-CN" w:eastAsia="zh-CN" w:bidi="zh-CN"/>
      </w:rPr>
    </w:lvl>
    <w:lvl w:ilvl="6" w:tentative="0">
      <w:start w:val="0"/>
      <w:numFmt w:val="bullet"/>
      <w:lvlText w:val="•"/>
      <w:lvlJc w:val="left"/>
      <w:pPr>
        <w:ind w:left="6023" w:hanging="488"/>
      </w:pPr>
      <w:rPr>
        <w:rFonts w:hint="default"/>
        <w:lang w:val="zh-CN" w:eastAsia="zh-CN" w:bidi="zh-CN"/>
      </w:rPr>
    </w:lvl>
    <w:lvl w:ilvl="7" w:tentative="0">
      <w:start w:val="0"/>
      <w:numFmt w:val="bullet"/>
      <w:lvlText w:val="•"/>
      <w:lvlJc w:val="left"/>
      <w:pPr>
        <w:ind w:left="7033" w:hanging="488"/>
      </w:pPr>
      <w:rPr>
        <w:rFonts w:hint="default"/>
        <w:lang w:val="zh-CN" w:eastAsia="zh-CN" w:bidi="zh-CN"/>
      </w:rPr>
    </w:lvl>
    <w:lvl w:ilvl="8" w:tentative="0">
      <w:start w:val="0"/>
      <w:numFmt w:val="bullet"/>
      <w:lvlText w:val="•"/>
      <w:lvlJc w:val="left"/>
      <w:pPr>
        <w:ind w:left="8044" w:hanging="488"/>
      </w:pPr>
      <w:rPr>
        <w:rFonts w:hint="default"/>
        <w:lang w:val="zh-CN" w:eastAsia="zh-CN" w:bidi="zh-CN"/>
      </w:rPr>
    </w:lvl>
  </w:abstractNum>
  <w:abstractNum w:abstractNumId="6">
    <w:nsid w:val="C5F5A50F"/>
    <w:multiLevelType w:val="multilevel"/>
    <w:tmpl w:val="C5F5A50F"/>
    <w:lvl w:ilvl="0" w:tentative="0">
      <w:start w:val="1"/>
      <w:numFmt w:val="decimal"/>
      <w:lvlText w:val="49.%1."/>
      <w:lvlJc w:val="left"/>
      <w:pPr>
        <w:tabs>
          <w:tab w:val="left" w:pos="0"/>
        </w:tabs>
        <w:ind w:left="1470" w:hanging="420"/>
      </w:pPr>
      <w:rPr>
        <w:rFonts w:hint="default" w:ascii="宋体" w:hAnsi="宋体" w:eastAsia="宋体" w:cs="宋体"/>
      </w:rPr>
    </w:lvl>
    <w:lvl w:ilvl="1" w:tentative="0">
      <w:start w:val="1"/>
      <w:numFmt w:val="lowerLetter"/>
      <w:lvlText w:val="%2)"/>
      <w:lvlJc w:val="left"/>
      <w:pPr>
        <w:tabs>
          <w:tab w:val="left" w:pos="0"/>
        </w:tabs>
        <w:ind w:left="1464" w:hanging="420"/>
      </w:pPr>
      <w:rPr>
        <w:rFonts w:hint="eastAsia"/>
      </w:rPr>
    </w:lvl>
    <w:lvl w:ilvl="2" w:tentative="0">
      <w:start w:val="1"/>
      <w:numFmt w:val="lowerRoman"/>
      <w:lvlText w:val="%3."/>
      <w:lvlJc w:val="right"/>
      <w:pPr>
        <w:tabs>
          <w:tab w:val="left" w:pos="0"/>
        </w:tabs>
        <w:ind w:left="1884" w:hanging="420"/>
      </w:pPr>
      <w:rPr>
        <w:rFonts w:hint="eastAsia"/>
      </w:rPr>
    </w:lvl>
    <w:lvl w:ilvl="3" w:tentative="0">
      <w:start w:val="1"/>
      <w:numFmt w:val="decimal"/>
      <w:lvlText w:val="%4."/>
      <w:lvlJc w:val="left"/>
      <w:pPr>
        <w:tabs>
          <w:tab w:val="left" w:pos="0"/>
        </w:tabs>
        <w:ind w:left="2304" w:hanging="420"/>
      </w:pPr>
      <w:rPr>
        <w:rFonts w:hint="eastAsia"/>
      </w:rPr>
    </w:lvl>
    <w:lvl w:ilvl="4" w:tentative="0">
      <w:start w:val="1"/>
      <w:numFmt w:val="lowerLetter"/>
      <w:lvlText w:val="%5)"/>
      <w:lvlJc w:val="left"/>
      <w:pPr>
        <w:tabs>
          <w:tab w:val="left" w:pos="0"/>
        </w:tabs>
        <w:ind w:left="2724" w:hanging="420"/>
      </w:pPr>
      <w:rPr>
        <w:rFonts w:hint="eastAsia"/>
      </w:rPr>
    </w:lvl>
    <w:lvl w:ilvl="5" w:tentative="0">
      <w:start w:val="1"/>
      <w:numFmt w:val="lowerRoman"/>
      <w:lvlText w:val="%6."/>
      <w:lvlJc w:val="right"/>
      <w:pPr>
        <w:tabs>
          <w:tab w:val="left" w:pos="0"/>
        </w:tabs>
        <w:ind w:left="3144" w:hanging="420"/>
      </w:pPr>
      <w:rPr>
        <w:rFonts w:hint="eastAsia"/>
      </w:rPr>
    </w:lvl>
    <w:lvl w:ilvl="6" w:tentative="0">
      <w:start w:val="1"/>
      <w:numFmt w:val="decimal"/>
      <w:lvlText w:val="%7."/>
      <w:lvlJc w:val="left"/>
      <w:pPr>
        <w:tabs>
          <w:tab w:val="left" w:pos="0"/>
        </w:tabs>
        <w:ind w:left="3564" w:hanging="420"/>
      </w:pPr>
      <w:rPr>
        <w:rFonts w:hint="eastAsia"/>
      </w:rPr>
    </w:lvl>
    <w:lvl w:ilvl="7" w:tentative="0">
      <w:start w:val="1"/>
      <w:numFmt w:val="lowerLetter"/>
      <w:lvlText w:val="%8)"/>
      <w:lvlJc w:val="left"/>
      <w:pPr>
        <w:tabs>
          <w:tab w:val="left" w:pos="0"/>
        </w:tabs>
        <w:ind w:left="3984" w:hanging="420"/>
      </w:pPr>
      <w:rPr>
        <w:rFonts w:hint="eastAsia"/>
      </w:rPr>
    </w:lvl>
    <w:lvl w:ilvl="8" w:tentative="0">
      <w:start w:val="1"/>
      <w:numFmt w:val="lowerRoman"/>
      <w:lvlText w:val="%9."/>
      <w:lvlJc w:val="right"/>
      <w:pPr>
        <w:tabs>
          <w:tab w:val="left" w:pos="0"/>
        </w:tabs>
        <w:ind w:left="4404" w:hanging="420"/>
      </w:pPr>
      <w:rPr>
        <w:rFonts w:hint="eastAsia"/>
      </w:rPr>
    </w:lvl>
  </w:abstractNum>
  <w:abstractNum w:abstractNumId="7">
    <w:nsid w:val="D48196CD"/>
    <w:multiLevelType w:val="multilevel"/>
    <w:tmpl w:val="D48196CD"/>
    <w:lvl w:ilvl="0" w:tentative="0">
      <w:start w:val="1"/>
      <w:numFmt w:val="decimal"/>
      <w:lvlText w:val="41.%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E093A4B0"/>
    <w:multiLevelType w:val="multilevel"/>
    <w:tmpl w:val="E093A4B0"/>
    <w:lvl w:ilvl="0" w:tentative="0">
      <w:start w:val="1"/>
      <w:numFmt w:val="decimal"/>
      <w:lvlText w:val="%1）"/>
      <w:lvlJc w:val="left"/>
      <w:pPr>
        <w:ind w:left="1360" w:hanging="361"/>
      </w:pPr>
      <w:rPr>
        <w:rFonts w:hint="default" w:ascii="仿宋" w:hAnsi="仿宋" w:eastAsia="仿宋" w:cs="仿宋"/>
        <w:spacing w:val="-19"/>
        <w:w w:val="100"/>
        <w:sz w:val="22"/>
        <w:szCs w:val="22"/>
        <w:lang w:val="zh-CN" w:eastAsia="zh-CN" w:bidi="zh-CN"/>
      </w:rPr>
    </w:lvl>
    <w:lvl w:ilvl="1" w:tentative="0">
      <w:start w:val="1"/>
      <w:numFmt w:val="decimal"/>
      <w:lvlText w:val="%1.%2"/>
      <w:lvlJc w:val="left"/>
      <w:pPr>
        <w:ind w:left="4285" w:hanging="423"/>
        <w:jc w:val="righ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4922" w:hanging="423"/>
      </w:pPr>
      <w:rPr>
        <w:rFonts w:hint="default"/>
        <w:lang w:val="zh-CN" w:eastAsia="zh-CN" w:bidi="zh-CN"/>
      </w:rPr>
    </w:lvl>
    <w:lvl w:ilvl="3" w:tentative="0">
      <w:start w:val="0"/>
      <w:numFmt w:val="bullet"/>
      <w:lvlText w:val="•"/>
      <w:lvlJc w:val="left"/>
      <w:pPr>
        <w:ind w:left="5565" w:hanging="423"/>
      </w:pPr>
      <w:rPr>
        <w:rFonts w:hint="default"/>
        <w:lang w:val="zh-CN" w:eastAsia="zh-CN" w:bidi="zh-CN"/>
      </w:rPr>
    </w:lvl>
    <w:lvl w:ilvl="4" w:tentative="0">
      <w:start w:val="0"/>
      <w:numFmt w:val="bullet"/>
      <w:lvlText w:val="•"/>
      <w:lvlJc w:val="left"/>
      <w:pPr>
        <w:ind w:left="6208" w:hanging="423"/>
      </w:pPr>
      <w:rPr>
        <w:rFonts w:hint="default"/>
        <w:lang w:val="zh-CN" w:eastAsia="zh-CN" w:bidi="zh-CN"/>
      </w:rPr>
    </w:lvl>
    <w:lvl w:ilvl="5" w:tentative="0">
      <w:start w:val="0"/>
      <w:numFmt w:val="bullet"/>
      <w:lvlText w:val="•"/>
      <w:lvlJc w:val="left"/>
      <w:pPr>
        <w:ind w:left="6851" w:hanging="423"/>
      </w:pPr>
      <w:rPr>
        <w:rFonts w:hint="default"/>
        <w:lang w:val="zh-CN" w:eastAsia="zh-CN" w:bidi="zh-CN"/>
      </w:rPr>
    </w:lvl>
    <w:lvl w:ilvl="6" w:tentative="0">
      <w:start w:val="0"/>
      <w:numFmt w:val="bullet"/>
      <w:lvlText w:val="•"/>
      <w:lvlJc w:val="left"/>
      <w:pPr>
        <w:ind w:left="7494" w:hanging="423"/>
      </w:pPr>
      <w:rPr>
        <w:rFonts w:hint="default"/>
        <w:lang w:val="zh-CN" w:eastAsia="zh-CN" w:bidi="zh-CN"/>
      </w:rPr>
    </w:lvl>
    <w:lvl w:ilvl="7" w:tentative="0">
      <w:start w:val="0"/>
      <w:numFmt w:val="bullet"/>
      <w:lvlText w:val="•"/>
      <w:lvlJc w:val="left"/>
      <w:pPr>
        <w:ind w:left="8137" w:hanging="423"/>
      </w:pPr>
      <w:rPr>
        <w:rFonts w:hint="default"/>
        <w:lang w:val="zh-CN" w:eastAsia="zh-CN" w:bidi="zh-CN"/>
      </w:rPr>
    </w:lvl>
    <w:lvl w:ilvl="8" w:tentative="0">
      <w:start w:val="0"/>
      <w:numFmt w:val="bullet"/>
      <w:lvlText w:val="•"/>
      <w:lvlJc w:val="left"/>
      <w:pPr>
        <w:ind w:left="8780" w:hanging="423"/>
      </w:pPr>
      <w:rPr>
        <w:rFonts w:hint="default"/>
        <w:lang w:val="zh-CN" w:eastAsia="zh-CN" w:bidi="zh-CN"/>
      </w:rPr>
    </w:lvl>
  </w:abstractNum>
  <w:abstractNum w:abstractNumId="9">
    <w:nsid w:val="F3879475"/>
    <w:multiLevelType w:val="multilevel"/>
    <w:tmpl w:val="F3879475"/>
    <w:lvl w:ilvl="0" w:tentative="0">
      <w:start w:val="1"/>
      <w:numFmt w:val="decimal"/>
      <w:lvlText w:val="37.%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F7735DC9"/>
    <w:multiLevelType w:val="multilevel"/>
    <w:tmpl w:val="F7735DC9"/>
    <w:lvl w:ilvl="0" w:tentative="0">
      <w:start w:val="3"/>
      <w:numFmt w:val="decimal"/>
      <w:lvlText w:val="%1"/>
      <w:lvlJc w:val="left"/>
      <w:pPr>
        <w:ind w:left="1241" w:hanging="361"/>
      </w:pPr>
      <w:rPr>
        <w:rFonts w:hint="default"/>
        <w:lang w:val="zh-CN" w:eastAsia="zh-CN" w:bidi="zh-CN"/>
      </w:rPr>
    </w:lvl>
    <w:lvl w:ilvl="1" w:tentative="0">
      <w:start w:val="7"/>
      <w:numFmt w:val="decimal"/>
      <w:lvlText w:val="%1.%2"/>
      <w:lvlJc w:val="left"/>
      <w:pPr>
        <w:ind w:left="1241" w:hanging="361"/>
      </w:pPr>
      <w:rPr>
        <w:rFonts w:hint="default" w:ascii="仿宋" w:hAnsi="仿宋" w:eastAsia="仿宋" w:cs="仿宋"/>
        <w:w w:val="100"/>
        <w:sz w:val="22"/>
        <w:szCs w:val="22"/>
        <w:lang w:val="zh-CN" w:eastAsia="zh-CN" w:bidi="zh-CN"/>
      </w:rPr>
    </w:lvl>
    <w:lvl w:ilvl="2" w:tentative="0">
      <w:start w:val="1"/>
      <w:numFmt w:val="decimal"/>
      <w:lvlText w:val="%3）"/>
      <w:lvlJc w:val="left"/>
      <w:pPr>
        <w:ind w:left="880" w:hanging="361"/>
      </w:pPr>
      <w:rPr>
        <w:rFonts w:hint="default" w:ascii="仿宋" w:hAnsi="仿宋" w:eastAsia="仿宋" w:cs="仿宋"/>
        <w:spacing w:val="-19"/>
        <w:w w:val="100"/>
        <w:sz w:val="22"/>
        <w:szCs w:val="22"/>
        <w:lang w:val="zh-CN" w:eastAsia="zh-CN" w:bidi="zh-CN"/>
      </w:rPr>
    </w:lvl>
    <w:lvl w:ilvl="3" w:tentative="0">
      <w:start w:val="0"/>
      <w:numFmt w:val="bullet"/>
      <w:lvlText w:val="•"/>
      <w:lvlJc w:val="left"/>
      <w:pPr>
        <w:ind w:left="3201" w:hanging="361"/>
      </w:pPr>
      <w:rPr>
        <w:rFonts w:hint="default"/>
        <w:lang w:val="zh-CN" w:eastAsia="zh-CN" w:bidi="zh-CN"/>
      </w:rPr>
    </w:lvl>
    <w:lvl w:ilvl="4" w:tentative="0">
      <w:start w:val="0"/>
      <w:numFmt w:val="bullet"/>
      <w:lvlText w:val="•"/>
      <w:lvlJc w:val="left"/>
      <w:pPr>
        <w:ind w:left="4182" w:hanging="361"/>
      </w:pPr>
      <w:rPr>
        <w:rFonts w:hint="default"/>
        <w:lang w:val="zh-CN" w:eastAsia="zh-CN" w:bidi="zh-CN"/>
      </w:rPr>
    </w:lvl>
    <w:lvl w:ilvl="5" w:tentative="0">
      <w:start w:val="0"/>
      <w:numFmt w:val="bullet"/>
      <w:lvlText w:val="•"/>
      <w:lvlJc w:val="left"/>
      <w:pPr>
        <w:ind w:left="5162" w:hanging="361"/>
      </w:pPr>
      <w:rPr>
        <w:rFonts w:hint="default"/>
        <w:lang w:val="zh-CN" w:eastAsia="zh-CN" w:bidi="zh-CN"/>
      </w:rPr>
    </w:lvl>
    <w:lvl w:ilvl="6" w:tentative="0">
      <w:start w:val="0"/>
      <w:numFmt w:val="bullet"/>
      <w:lvlText w:val="•"/>
      <w:lvlJc w:val="left"/>
      <w:pPr>
        <w:ind w:left="6143" w:hanging="361"/>
      </w:pPr>
      <w:rPr>
        <w:rFonts w:hint="default"/>
        <w:lang w:val="zh-CN" w:eastAsia="zh-CN" w:bidi="zh-CN"/>
      </w:rPr>
    </w:lvl>
    <w:lvl w:ilvl="7" w:tentative="0">
      <w:start w:val="0"/>
      <w:numFmt w:val="bullet"/>
      <w:lvlText w:val="•"/>
      <w:lvlJc w:val="left"/>
      <w:pPr>
        <w:ind w:left="7124" w:hanging="361"/>
      </w:pPr>
      <w:rPr>
        <w:rFonts w:hint="default"/>
        <w:lang w:val="zh-CN" w:eastAsia="zh-CN" w:bidi="zh-CN"/>
      </w:rPr>
    </w:lvl>
    <w:lvl w:ilvl="8" w:tentative="0">
      <w:start w:val="0"/>
      <w:numFmt w:val="bullet"/>
      <w:lvlText w:val="•"/>
      <w:lvlJc w:val="left"/>
      <w:pPr>
        <w:ind w:left="8104" w:hanging="361"/>
      </w:pPr>
      <w:rPr>
        <w:rFonts w:hint="default"/>
        <w:lang w:val="zh-CN" w:eastAsia="zh-CN" w:bidi="zh-CN"/>
      </w:rPr>
    </w:lvl>
  </w:abstractNum>
  <w:abstractNum w:abstractNumId="11">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127559E"/>
    <w:multiLevelType w:val="multilevel"/>
    <w:tmpl w:val="0127559E"/>
    <w:lvl w:ilvl="0" w:tentative="0">
      <w:start w:val="1"/>
      <w:numFmt w:val="decimal"/>
      <w:lvlText w:val="11.%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18E6373"/>
    <w:multiLevelType w:val="multilevel"/>
    <w:tmpl w:val="018E6373"/>
    <w:lvl w:ilvl="0" w:tentative="0">
      <w:start w:val="1"/>
      <w:numFmt w:val="decimal"/>
      <w:lvlText w:val="36.%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03921837"/>
    <w:multiLevelType w:val="multilevel"/>
    <w:tmpl w:val="03921837"/>
    <w:lvl w:ilvl="0" w:tentative="0">
      <w:start w:val="1"/>
      <w:numFmt w:val="decimal"/>
      <w:lvlText w:val="15.%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4D04A43"/>
    <w:multiLevelType w:val="multilevel"/>
    <w:tmpl w:val="04D04A43"/>
    <w:lvl w:ilvl="0" w:tentative="0">
      <w:start w:val="1"/>
      <w:numFmt w:val="decimal"/>
      <w:lvlText w:val="33.3.%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6535FCF"/>
    <w:multiLevelType w:val="multilevel"/>
    <w:tmpl w:val="06535FCF"/>
    <w:lvl w:ilvl="0" w:tentative="0">
      <w:start w:val="1"/>
      <w:numFmt w:val="decimal"/>
      <w:lvlText w:val="35.%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07FC72E6"/>
    <w:multiLevelType w:val="multilevel"/>
    <w:tmpl w:val="07FC72E6"/>
    <w:lvl w:ilvl="0" w:tentative="0">
      <w:start w:val="1"/>
      <w:numFmt w:val="decimal"/>
      <w:lvlText w:val="27.%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86318BC"/>
    <w:multiLevelType w:val="multilevel"/>
    <w:tmpl w:val="086318BC"/>
    <w:lvl w:ilvl="0" w:tentative="0">
      <w:start w:val="1"/>
      <w:numFmt w:val="decimal"/>
      <w:lvlText w:val="44.%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099010A4"/>
    <w:multiLevelType w:val="multilevel"/>
    <w:tmpl w:val="099010A4"/>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0AEB3CB2"/>
    <w:multiLevelType w:val="multilevel"/>
    <w:tmpl w:val="0AEB3CB2"/>
    <w:lvl w:ilvl="0" w:tentative="0">
      <w:start w:val="1"/>
      <w:numFmt w:val="decimal"/>
      <w:lvlText w:val="42.%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101D61F5"/>
    <w:multiLevelType w:val="multilevel"/>
    <w:tmpl w:val="101D61F5"/>
    <w:lvl w:ilvl="0" w:tentative="0">
      <w:start w:val="1"/>
      <w:numFmt w:val="decimal"/>
      <w:lvlText w:val="7.2.%1"/>
      <w:lvlJc w:val="left"/>
      <w:pPr>
        <w:tabs>
          <w:tab w:val="left" w:pos="0"/>
        </w:tabs>
        <w:ind w:left="567" w:hanging="454"/>
      </w:pPr>
      <w:rPr>
        <w:rFonts w:hint="eastAsia"/>
      </w:rPr>
    </w:lvl>
    <w:lvl w:ilvl="1" w:tentative="0">
      <w:start w:val="1"/>
      <w:numFmt w:val="none"/>
      <w:lvlText w:val="7.2.1"/>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12C5490F"/>
    <w:multiLevelType w:val="multilevel"/>
    <w:tmpl w:val="12C5490F"/>
    <w:lvl w:ilvl="0" w:tentative="0">
      <w:start w:val="1"/>
      <w:numFmt w:val="decimal"/>
      <w:lvlText w:val="（%1）"/>
      <w:lvlJc w:val="left"/>
      <w:pPr>
        <w:tabs>
          <w:tab w:val="left" w:pos="-136"/>
        </w:tabs>
        <w:ind w:left="998" w:hanging="71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163B09D7"/>
    <w:multiLevelType w:val="multilevel"/>
    <w:tmpl w:val="163B09D7"/>
    <w:lvl w:ilvl="0" w:tentative="0">
      <w:start w:val="1"/>
      <w:numFmt w:val="decimal"/>
      <w:lvlText w:val="33.2.%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4">
    <w:nsid w:val="1B89047A"/>
    <w:multiLevelType w:val="multilevel"/>
    <w:tmpl w:val="1B89047A"/>
    <w:lvl w:ilvl="0" w:tentative="0">
      <w:start w:val="1"/>
      <w:numFmt w:val="decimal"/>
      <w:lvlText w:val="22.%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1BE01413"/>
    <w:multiLevelType w:val="multilevel"/>
    <w:tmpl w:val="1BE01413"/>
    <w:lvl w:ilvl="0" w:tentative="0">
      <w:start w:val="1"/>
      <w:numFmt w:val="decimal"/>
      <w:lvlText w:val="12.%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1392CFC"/>
    <w:multiLevelType w:val="multilevel"/>
    <w:tmpl w:val="21392CFC"/>
    <w:lvl w:ilvl="0" w:tentative="0">
      <w:start w:val="1"/>
      <w:numFmt w:val="decimal"/>
      <w:lvlText w:val="33.1.%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7">
    <w:nsid w:val="22071260"/>
    <w:multiLevelType w:val="multilevel"/>
    <w:tmpl w:val="22071260"/>
    <w:lvl w:ilvl="0" w:tentative="0">
      <w:start w:val="1"/>
      <w:numFmt w:val="decimal"/>
      <w:lvlText w:val="（%1）"/>
      <w:lvlJc w:val="left"/>
      <w:pPr>
        <w:tabs>
          <w:tab w:val="left" w:pos="113"/>
        </w:tabs>
        <w:ind w:left="1134" w:hanging="68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2486DBB"/>
    <w:multiLevelType w:val="multilevel"/>
    <w:tmpl w:val="22486DBB"/>
    <w:lvl w:ilvl="0" w:tentative="0">
      <w:start w:val="1"/>
      <w:numFmt w:val="decimal"/>
      <w:lvlText w:val="16.%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2FD704B"/>
    <w:multiLevelType w:val="multilevel"/>
    <w:tmpl w:val="22FD704B"/>
    <w:lvl w:ilvl="0" w:tentative="0">
      <w:start w:val="1"/>
      <w:numFmt w:val="decimal"/>
      <w:lvlText w:val="36.2.%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0">
    <w:nsid w:val="23AC494A"/>
    <w:multiLevelType w:val="multilevel"/>
    <w:tmpl w:val="23AC494A"/>
    <w:lvl w:ilvl="0" w:tentative="0">
      <w:start w:val="1"/>
      <w:numFmt w:val="decimal"/>
      <w:lvlText w:val="24.%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6024CBE"/>
    <w:multiLevelType w:val="multilevel"/>
    <w:tmpl w:val="26024CBE"/>
    <w:lvl w:ilvl="0" w:tentative="0">
      <w:start w:val="1"/>
      <w:numFmt w:val="decimal"/>
      <w:lvlText w:val="31.%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2">
    <w:nsid w:val="28463F36"/>
    <w:multiLevelType w:val="multilevel"/>
    <w:tmpl w:val="28463F36"/>
    <w:lvl w:ilvl="0" w:tentative="0">
      <w:start w:val="1"/>
      <w:numFmt w:val="decimal"/>
      <w:lvlText w:val="28.%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9107BCE"/>
    <w:multiLevelType w:val="multilevel"/>
    <w:tmpl w:val="29107BCE"/>
    <w:lvl w:ilvl="0" w:tentative="0">
      <w:start w:val="1"/>
      <w:numFmt w:val="decimal"/>
      <w:lvlText w:val="17.3.%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918D917"/>
    <w:multiLevelType w:val="multilevel"/>
    <w:tmpl w:val="2918D917"/>
    <w:lvl w:ilvl="0" w:tentative="0">
      <w:start w:val="1"/>
      <w:numFmt w:val="decimal"/>
      <w:lvlText w:val="45.%1"/>
      <w:lvlJc w:val="left"/>
      <w:pPr>
        <w:tabs>
          <w:tab w:val="left" w:pos="-113"/>
        </w:tabs>
        <w:ind w:left="454"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5">
    <w:nsid w:val="2D2813E7"/>
    <w:multiLevelType w:val="multilevel"/>
    <w:tmpl w:val="2D2813E7"/>
    <w:lvl w:ilvl="0" w:tentative="0">
      <w:start w:val="1"/>
      <w:numFmt w:val="decimal"/>
      <w:lvlText w:val="6.%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30FC5B15"/>
    <w:multiLevelType w:val="multilevel"/>
    <w:tmpl w:val="30FC5B15"/>
    <w:lvl w:ilvl="0" w:tentative="0">
      <w:start w:val="0"/>
      <w:numFmt w:val="bullet"/>
      <w:lvlText w:val=""/>
      <w:lvlJc w:val="left"/>
      <w:pPr>
        <w:ind w:left="880" w:hanging="420"/>
      </w:pPr>
      <w:rPr>
        <w:rFonts w:hint="default" w:ascii="Wingdings" w:hAnsi="Wingdings" w:eastAsia="Wingdings" w:cs="Wingdings"/>
        <w:w w:val="100"/>
        <w:sz w:val="28"/>
        <w:szCs w:val="28"/>
        <w:lang w:val="zh-CN" w:eastAsia="zh-CN" w:bidi="zh-CN"/>
      </w:rPr>
    </w:lvl>
    <w:lvl w:ilvl="1" w:tentative="0">
      <w:start w:val="0"/>
      <w:numFmt w:val="bullet"/>
      <w:lvlText w:val=""/>
      <w:lvlJc w:val="left"/>
      <w:pPr>
        <w:ind w:left="2140" w:hanging="420"/>
      </w:pPr>
      <w:rPr>
        <w:rFonts w:hint="default" w:ascii="Wingdings" w:hAnsi="Wingdings" w:eastAsia="Wingdings" w:cs="Wingdings"/>
        <w:w w:val="100"/>
        <w:sz w:val="28"/>
        <w:szCs w:val="28"/>
        <w:lang w:val="zh-CN" w:eastAsia="zh-CN" w:bidi="zh-CN"/>
      </w:rPr>
    </w:lvl>
    <w:lvl w:ilvl="2" w:tentative="0">
      <w:start w:val="0"/>
      <w:numFmt w:val="bullet"/>
      <w:lvlText w:val="•"/>
      <w:lvlJc w:val="left"/>
      <w:pPr>
        <w:ind w:left="3020" w:hanging="420"/>
      </w:pPr>
      <w:rPr>
        <w:rFonts w:hint="default"/>
        <w:lang w:val="zh-CN" w:eastAsia="zh-CN" w:bidi="zh-CN"/>
      </w:rPr>
    </w:lvl>
    <w:lvl w:ilvl="3" w:tentative="0">
      <w:start w:val="0"/>
      <w:numFmt w:val="bullet"/>
      <w:lvlText w:val="•"/>
      <w:lvlJc w:val="left"/>
      <w:pPr>
        <w:ind w:left="3901" w:hanging="420"/>
      </w:pPr>
      <w:rPr>
        <w:rFonts w:hint="default"/>
        <w:lang w:val="zh-CN" w:eastAsia="zh-CN" w:bidi="zh-CN"/>
      </w:rPr>
    </w:lvl>
    <w:lvl w:ilvl="4" w:tentative="0">
      <w:start w:val="0"/>
      <w:numFmt w:val="bullet"/>
      <w:lvlText w:val="•"/>
      <w:lvlJc w:val="left"/>
      <w:pPr>
        <w:ind w:left="4782" w:hanging="420"/>
      </w:pPr>
      <w:rPr>
        <w:rFonts w:hint="default"/>
        <w:lang w:val="zh-CN" w:eastAsia="zh-CN" w:bidi="zh-CN"/>
      </w:rPr>
    </w:lvl>
    <w:lvl w:ilvl="5" w:tentative="0">
      <w:start w:val="0"/>
      <w:numFmt w:val="bullet"/>
      <w:lvlText w:val="•"/>
      <w:lvlJc w:val="left"/>
      <w:pPr>
        <w:ind w:left="5662" w:hanging="420"/>
      </w:pPr>
      <w:rPr>
        <w:rFonts w:hint="default"/>
        <w:lang w:val="zh-CN" w:eastAsia="zh-CN" w:bidi="zh-CN"/>
      </w:rPr>
    </w:lvl>
    <w:lvl w:ilvl="6" w:tentative="0">
      <w:start w:val="0"/>
      <w:numFmt w:val="bullet"/>
      <w:lvlText w:val="•"/>
      <w:lvlJc w:val="left"/>
      <w:pPr>
        <w:ind w:left="6543" w:hanging="420"/>
      </w:pPr>
      <w:rPr>
        <w:rFonts w:hint="default"/>
        <w:lang w:val="zh-CN" w:eastAsia="zh-CN" w:bidi="zh-CN"/>
      </w:rPr>
    </w:lvl>
    <w:lvl w:ilvl="7" w:tentative="0">
      <w:start w:val="0"/>
      <w:numFmt w:val="bullet"/>
      <w:lvlText w:val="•"/>
      <w:lvlJc w:val="left"/>
      <w:pPr>
        <w:ind w:left="7424" w:hanging="420"/>
      </w:pPr>
      <w:rPr>
        <w:rFonts w:hint="default"/>
        <w:lang w:val="zh-CN" w:eastAsia="zh-CN" w:bidi="zh-CN"/>
      </w:rPr>
    </w:lvl>
    <w:lvl w:ilvl="8" w:tentative="0">
      <w:start w:val="0"/>
      <w:numFmt w:val="bullet"/>
      <w:lvlText w:val="•"/>
      <w:lvlJc w:val="left"/>
      <w:pPr>
        <w:ind w:left="8304" w:hanging="420"/>
      </w:pPr>
      <w:rPr>
        <w:rFonts w:hint="default"/>
        <w:lang w:val="zh-CN" w:eastAsia="zh-CN" w:bidi="zh-CN"/>
      </w:rPr>
    </w:lvl>
  </w:abstractNum>
  <w:abstractNum w:abstractNumId="37">
    <w:nsid w:val="3436379E"/>
    <w:multiLevelType w:val="multilevel"/>
    <w:tmpl w:val="3436379E"/>
    <w:lvl w:ilvl="0" w:tentative="0">
      <w:start w:val="1"/>
      <w:numFmt w:val="decimal"/>
      <w:lvlText w:val="29.%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5801E90"/>
    <w:multiLevelType w:val="multilevel"/>
    <w:tmpl w:val="35801E90"/>
    <w:lvl w:ilvl="0" w:tentative="0">
      <w:start w:val="1"/>
      <w:numFmt w:val="decimal"/>
      <w:lvlText w:val="9.%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7CA0AB0"/>
    <w:multiLevelType w:val="multilevel"/>
    <w:tmpl w:val="37CA0AB0"/>
    <w:lvl w:ilvl="0" w:tentative="0">
      <w:start w:val="1"/>
      <w:numFmt w:val="decimal"/>
      <w:lvlText w:val="25.%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8D156B8"/>
    <w:multiLevelType w:val="multilevel"/>
    <w:tmpl w:val="38D156B8"/>
    <w:lvl w:ilvl="0" w:tentative="0">
      <w:start w:val="1"/>
      <w:numFmt w:val="decimal"/>
      <w:lvlText w:val="（%1）"/>
      <w:lvlJc w:val="left"/>
      <w:pPr>
        <w:tabs>
          <w:tab w:val="left" w:pos="113"/>
        </w:tabs>
        <w:ind w:left="1134" w:hanging="68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39A0D9AC"/>
    <w:multiLevelType w:val="multilevel"/>
    <w:tmpl w:val="39A0D9AC"/>
    <w:lvl w:ilvl="0" w:tentative="0">
      <w:start w:val="1"/>
      <w:numFmt w:val="decimal"/>
      <w:lvlText w:val="（%1）"/>
      <w:lvlJc w:val="left"/>
      <w:pPr>
        <w:ind w:left="1781" w:hanging="60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608" w:hanging="601"/>
      </w:pPr>
      <w:rPr>
        <w:rFonts w:hint="default"/>
        <w:lang w:val="zh-CN" w:eastAsia="zh-CN" w:bidi="zh-CN"/>
      </w:rPr>
    </w:lvl>
    <w:lvl w:ilvl="2" w:tentative="0">
      <w:start w:val="0"/>
      <w:numFmt w:val="bullet"/>
      <w:lvlText w:val="•"/>
      <w:lvlJc w:val="left"/>
      <w:pPr>
        <w:ind w:left="3437" w:hanging="601"/>
      </w:pPr>
      <w:rPr>
        <w:rFonts w:hint="default"/>
        <w:lang w:val="zh-CN" w:eastAsia="zh-CN" w:bidi="zh-CN"/>
      </w:rPr>
    </w:lvl>
    <w:lvl w:ilvl="3" w:tentative="0">
      <w:start w:val="0"/>
      <w:numFmt w:val="bullet"/>
      <w:lvlText w:val="•"/>
      <w:lvlJc w:val="left"/>
      <w:pPr>
        <w:ind w:left="4265" w:hanging="601"/>
      </w:pPr>
      <w:rPr>
        <w:rFonts w:hint="default"/>
        <w:lang w:val="zh-CN" w:eastAsia="zh-CN" w:bidi="zh-CN"/>
      </w:rPr>
    </w:lvl>
    <w:lvl w:ilvl="4" w:tentative="0">
      <w:start w:val="0"/>
      <w:numFmt w:val="bullet"/>
      <w:lvlText w:val="•"/>
      <w:lvlJc w:val="left"/>
      <w:pPr>
        <w:ind w:left="5094" w:hanging="601"/>
      </w:pPr>
      <w:rPr>
        <w:rFonts w:hint="default"/>
        <w:lang w:val="zh-CN" w:eastAsia="zh-CN" w:bidi="zh-CN"/>
      </w:rPr>
    </w:lvl>
    <w:lvl w:ilvl="5" w:tentative="0">
      <w:start w:val="0"/>
      <w:numFmt w:val="bullet"/>
      <w:lvlText w:val="•"/>
      <w:lvlJc w:val="left"/>
      <w:pPr>
        <w:ind w:left="5923" w:hanging="601"/>
      </w:pPr>
      <w:rPr>
        <w:rFonts w:hint="default"/>
        <w:lang w:val="zh-CN" w:eastAsia="zh-CN" w:bidi="zh-CN"/>
      </w:rPr>
    </w:lvl>
    <w:lvl w:ilvl="6" w:tentative="0">
      <w:start w:val="0"/>
      <w:numFmt w:val="bullet"/>
      <w:lvlText w:val="•"/>
      <w:lvlJc w:val="left"/>
      <w:pPr>
        <w:ind w:left="6751" w:hanging="601"/>
      </w:pPr>
      <w:rPr>
        <w:rFonts w:hint="default"/>
        <w:lang w:val="zh-CN" w:eastAsia="zh-CN" w:bidi="zh-CN"/>
      </w:rPr>
    </w:lvl>
    <w:lvl w:ilvl="7" w:tentative="0">
      <w:start w:val="0"/>
      <w:numFmt w:val="bullet"/>
      <w:lvlText w:val="•"/>
      <w:lvlJc w:val="left"/>
      <w:pPr>
        <w:ind w:left="7580" w:hanging="601"/>
      </w:pPr>
      <w:rPr>
        <w:rFonts w:hint="default"/>
        <w:lang w:val="zh-CN" w:eastAsia="zh-CN" w:bidi="zh-CN"/>
      </w:rPr>
    </w:lvl>
    <w:lvl w:ilvl="8" w:tentative="0">
      <w:start w:val="0"/>
      <w:numFmt w:val="bullet"/>
      <w:lvlText w:val="•"/>
      <w:lvlJc w:val="left"/>
      <w:pPr>
        <w:ind w:left="8408" w:hanging="601"/>
      </w:pPr>
      <w:rPr>
        <w:rFonts w:hint="default"/>
        <w:lang w:val="zh-CN" w:eastAsia="zh-CN" w:bidi="zh-CN"/>
      </w:rPr>
    </w:lvl>
  </w:abstractNum>
  <w:abstractNum w:abstractNumId="42">
    <w:nsid w:val="3CAF3D00"/>
    <w:multiLevelType w:val="multilevel"/>
    <w:tmpl w:val="3CAF3D0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0213C34"/>
    <w:multiLevelType w:val="multilevel"/>
    <w:tmpl w:val="40213C34"/>
    <w:lvl w:ilvl="0" w:tentative="0">
      <w:start w:val="1"/>
      <w:numFmt w:val="decimal"/>
      <w:lvlText w:val="39.%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4">
    <w:nsid w:val="405651E8"/>
    <w:multiLevelType w:val="multilevel"/>
    <w:tmpl w:val="405651E8"/>
    <w:lvl w:ilvl="0" w:tentative="0">
      <w:start w:val="1"/>
      <w:numFmt w:val="decimal"/>
      <w:lvlText w:val="5.2.%1"/>
      <w:lvlJc w:val="left"/>
      <w:pPr>
        <w:tabs>
          <w:tab w:val="left" w:pos="0"/>
        </w:tabs>
        <w:ind w:left="964" w:hanging="851"/>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14702D0"/>
    <w:multiLevelType w:val="multilevel"/>
    <w:tmpl w:val="414702D0"/>
    <w:lvl w:ilvl="0" w:tentative="0">
      <w:start w:val="1"/>
      <w:numFmt w:val="decimal"/>
      <w:lvlText w:val="20.%1"/>
      <w:lvlJc w:val="left"/>
      <w:pPr>
        <w:tabs>
          <w:tab w:val="left" w:pos="0"/>
        </w:tabs>
        <w:ind w:left="567" w:hanging="45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41DD0C41"/>
    <w:multiLevelType w:val="multilevel"/>
    <w:tmpl w:val="41DD0C41"/>
    <w:lvl w:ilvl="0" w:tentative="0">
      <w:start w:val="1"/>
      <w:numFmt w:val="decimal"/>
      <w:lvlText w:val="3.%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2895256"/>
    <w:multiLevelType w:val="multilevel"/>
    <w:tmpl w:val="42895256"/>
    <w:lvl w:ilvl="0" w:tentative="0">
      <w:start w:val="1"/>
      <w:numFmt w:val="decimal"/>
      <w:lvlText w:val="17.%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6A08BB8"/>
    <w:multiLevelType w:val="multilevel"/>
    <w:tmpl w:val="46A08BB8"/>
    <w:lvl w:ilvl="0" w:tentative="0">
      <w:start w:val="2"/>
      <w:numFmt w:val="decimal"/>
      <w:lvlText w:val="%1."/>
      <w:lvlJc w:val="left"/>
      <w:pPr>
        <w:ind w:left="1003" w:hanging="244"/>
      </w:pPr>
      <w:rPr>
        <w:rFonts w:hint="default" w:ascii="宋体" w:hAnsi="宋体" w:eastAsia="宋体" w:cs="宋体"/>
        <w:b/>
        <w:bCs/>
        <w:spacing w:val="-3"/>
        <w:w w:val="99"/>
        <w:sz w:val="22"/>
        <w:szCs w:val="22"/>
        <w:lang w:val="zh-CN" w:eastAsia="zh-CN" w:bidi="zh-CN"/>
      </w:rPr>
    </w:lvl>
    <w:lvl w:ilvl="1" w:tentative="0">
      <w:start w:val="1"/>
      <w:numFmt w:val="decimal"/>
      <w:lvlText w:val="（%2）"/>
      <w:lvlJc w:val="left"/>
      <w:pPr>
        <w:ind w:left="760" w:hanging="601"/>
      </w:pPr>
      <w:rPr>
        <w:rFonts w:hint="default" w:ascii="宋体" w:hAnsi="宋体" w:eastAsia="宋体" w:cs="宋体"/>
        <w:w w:val="100"/>
        <w:sz w:val="22"/>
        <w:szCs w:val="22"/>
        <w:lang w:val="zh-CN" w:eastAsia="zh-CN" w:bidi="zh-CN"/>
      </w:rPr>
    </w:lvl>
    <w:lvl w:ilvl="2" w:tentative="0">
      <w:start w:val="0"/>
      <w:numFmt w:val="bullet"/>
      <w:lvlText w:val="•"/>
      <w:lvlJc w:val="left"/>
      <w:pPr>
        <w:ind w:left="2007" w:hanging="601"/>
      </w:pPr>
      <w:rPr>
        <w:rFonts w:hint="default"/>
        <w:lang w:val="zh-CN" w:eastAsia="zh-CN" w:bidi="zh-CN"/>
      </w:rPr>
    </w:lvl>
    <w:lvl w:ilvl="3" w:tentative="0">
      <w:start w:val="0"/>
      <w:numFmt w:val="bullet"/>
      <w:lvlText w:val="•"/>
      <w:lvlJc w:val="left"/>
      <w:pPr>
        <w:ind w:left="3014" w:hanging="601"/>
      </w:pPr>
      <w:rPr>
        <w:rFonts w:hint="default"/>
        <w:lang w:val="zh-CN" w:eastAsia="zh-CN" w:bidi="zh-CN"/>
      </w:rPr>
    </w:lvl>
    <w:lvl w:ilvl="4" w:tentative="0">
      <w:start w:val="0"/>
      <w:numFmt w:val="bullet"/>
      <w:lvlText w:val="•"/>
      <w:lvlJc w:val="left"/>
      <w:pPr>
        <w:ind w:left="4022" w:hanging="601"/>
      </w:pPr>
      <w:rPr>
        <w:rFonts w:hint="default"/>
        <w:lang w:val="zh-CN" w:eastAsia="zh-CN" w:bidi="zh-CN"/>
      </w:rPr>
    </w:lvl>
    <w:lvl w:ilvl="5" w:tentative="0">
      <w:start w:val="0"/>
      <w:numFmt w:val="bullet"/>
      <w:lvlText w:val="•"/>
      <w:lvlJc w:val="left"/>
      <w:pPr>
        <w:ind w:left="5029" w:hanging="601"/>
      </w:pPr>
      <w:rPr>
        <w:rFonts w:hint="default"/>
        <w:lang w:val="zh-CN" w:eastAsia="zh-CN" w:bidi="zh-CN"/>
      </w:rPr>
    </w:lvl>
    <w:lvl w:ilvl="6" w:tentative="0">
      <w:start w:val="0"/>
      <w:numFmt w:val="bullet"/>
      <w:lvlText w:val="•"/>
      <w:lvlJc w:val="left"/>
      <w:pPr>
        <w:ind w:left="6036" w:hanging="601"/>
      </w:pPr>
      <w:rPr>
        <w:rFonts w:hint="default"/>
        <w:lang w:val="zh-CN" w:eastAsia="zh-CN" w:bidi="zh-CN"/>
      </w:rPr>
    </w:lvl>
    <w:lvl w:ilvl="7" w:tentative="0">
      <w:start w:val="0"/>
      <w:numFmt w:val="bullet"/>
      <w:lvlText w:val="•"/>
      <w:lvlJc w:val="left"/>
      <w:pPr>
        <w:ind w:left="7044" w:hanging="601"/>
      </w:pPr>
      <w:rPr>
        <w:rFonts w:hint="default"/>
        <w:lang w:val="zh-CN" w:eastAsia="zh-CN" w:bidi="zh-CN"/>
      </w:rPr>
    </w:lvl>
    <w:lvl w:ilvl="8" w:tentative="0">
      <w:start w:val="0"/>
      <w:numFmt w:val="bullet"/>
      <w:lvlText w:val="•"/>
      <w:lvlJc w:val="left"/>
      <w:pPr>
        <w:ind w:left="8051" w:hanging="601"/>
      </w:pPr>
      <w:rPr>
        <w:rFonts w:hint="default"/>
        <w:lang w:val="zh-CN" w:eastAsia="zh-CN" w:bidi="zh-CN"/>
      </w:rPr>
    </w:lvl>
  </w:abstractNum>
  <w:abstractNum w:abstractNumId="49">
    <w:nsid w:val="49A510D4"/>
    <w:multiLevelType w:val="multilevel"/>
    <w:tmpl w:val="49A510D4"/>
    <w:lvl w:ilvl="0" w:tentative="0">
      <w:start w:val="1"/>
      <w:numFmt w:val="decimal"/>
      <w:lvlText w:val="%1."/>
      <w:lvlJc w:val="left"/>
      <w:pPr>
        <w:tabs>
          <w:tab w:val="left" w:pos="414"/>
        </w:tabs>
        <w:ind w:left="717" w:hanging="283"/>
      </w:pPr>
      <w:rPr>
        <w:rFonts w:hint="default"/>
        <w:b w:val="0"/>
        <w:i w:val="0"/>
      </w:rPr>
    </w:lvl>
    <w:lvl w:ilvl="1" w:tentative="0">
      <w:start w:val="1"/>
      <w:numFmt w:val="lowerLetter"/>
      <w:lvlText w:val="%2)"/>
      <w:lvlJc w:val="left"/>
      <w:pPr>
        <w:tabs>
          <w:tab w:val="left" w:pos="1047"/>
        </w:tabs>
        <w:ind w:left="1047" w:hanging="420"/>
      </w:pPr>
      <w:rPr>
        <w:rFonts w:hint="eastAsia"/>
      </w:rPr>
    </w:lvl>
    <w:lvl w:ilvl="2" w:tentative="0">
      <w:start w:val="1"/>
      <w:numFmt w:val="lowerRoman"/>
      <w:lvlText w:val="%3."/>
      <w:lvlJc w:val="right"/>
      <w:pPr>
        <w:tabs>
          <w:tab w:val="left" w:pos="1467"/>
        </w:tabs>
        <w:ind w:left="1467" w:hanging="420"/>
      </w:pPr>
      <w:rPr>
        <w:rFonts w:hint="eastAsia"/>
      </w:rPr>
    </w:lvl>
    <w:lvl w:ilvl="3" w:tentative="0">
      <w:start w:val="1"/>
      <w:numFmt w:val="decimal"/>
      <w:lvlText w:val="%4."/>
      <w:lvlJc w:val="left"/>
      <w:pPr>
        <w:tabs>
          <w:tab w:val="left" w:pos="0"/>
        </w:tabs>
        <w:ind w:left="624" w:hanging="511"/>
      </w:pPr>
      <w:rPr>
        <w:rFonts w:hint="eastAsia"/>
        <w:b w:val="0"/>
        <w:i w:val="0"/>
      </w:rPr>
    </w:lvl>
    <w:lvl w:ilvl="4" w:tentative="0">
      <w:start w:val="1"/>
      <w:numFmt w:val="lowerLetter"/>
      <w:lvlText w:val="%5)"/>
      <w:lvlJc w:val="left"/>
      <w:pPr>
        <w:tabs>
          <w:tab w:val="left" w:pos="2307"/>
        </w:tabs>
        <w:ind w:left="2307" w:hanging="420"/>
      </w:pPr>
      <w:rPr>
        <w:rFonts w:hint="eastAsia"/>
      </w:rPr>
    </w:lvl>
    <w:lvl w:ilvl="5" w:tentative="0">
      <w:start w:val="1"/>
      <w:numFmt w:val="lowerRoman"/>
      <w:lvlText w:val="%6."/>
      <w:lvlJc w:val="right"/>
      <w:pPr>
        <w:tabs>
          <w:tab w:val="left" w:pos="2727"/>
        </w:tabs>
        <w:ind w:left="2727" w:hanging="420"/>
      </w:pPr>
      <w:rPr>
        <w:rFonts w:hint="eastAsia"/>
      </w:rPr>
    </w:lvl>
    <w:lvl w:ilvl="6" w:tentative="0">
      <w:start w:val="1"/>
      <w:numFmt w:val="decimal"/>
      <w:lvlText w:val="%7."/>
      <w:lvlJc w:val="left"/>
      <w:pPr>
        <w:tabs>
          <w:tab w:val="left" w:pos="3147"/>
        </w:tabs>
        <w:ind w:left="3147" w:hanging="420"/>
      </w:pPr>
      <w:rPr>
        <w:rFonts w:hint="eastAsia"/>
      </w:rPr>
    </w:lvl>
    <w:lvl w:ilvl="7" w:tentative="0">
      <w:start w:val="1"/>
      <w:numFmt w:val="lowerLetter"/>
      <w:lvlText w:val="%8)"/>
      <w:lvlJc w:val="left"/>
      <w:pPr>
        <w:tabs>
          <w:tab w:val="left" w:pos="3567"/>
        </w:tabs>
        <w:ind w:left="3567" w:hanging="420"/>
      </w:pPr>
      <w:rPr>
        <w:rFonts w:hint="eastAsia"/>
      </w:rPr>
    </w:lvl>
    <w:lvl w:ilvl="8" w:tentative="0">
      <w:start w:val="1"/>
      <w:numFmt w:val="lowerRoman"/>
      <w:lvlText w:val="%9."/>
      <w:lvlJc w:val="right"/>
      <w:pPr>
        <w:tabs>
          <w:tab w:val="left" w:pos="3987"/>
        </w:tabs>
        <w:ind w:left="3987" w:hanging="420"/>
      </w:pPr>
      <w:rPr>
        <w:rFonts w:hint="eastAsia"/>
      </w:rPr>
    </w:lvl>
  </w:abstractNum>
  <w:abstractNum w:abstractNumId="50">
    <w:nsid w:val="4DF85642"/>
    <w:multiLevelType w:val="multilevel"/>
    <w:tmpl w:val="4DF85642"/>
    <w:lvl w:ilvl="0" w:tentative="0">
      <w:start w:val="1"/>
      <w:numFmt w:val="decimal"/>
      <w:lvlText w:val="21.%1"/>
      <w:lvlJc w:val="left"/>
      <w:pPr>
        <w:tabs>
          <w:tab w:val="left" w:pos="0"/>
        </w:tabs>
        <w:ind w:left="567" w:hanging="454"/>
      </w:pPr>
      <w:rPr>
        <w:rFonts w:hint="eastAsia" w:ascii="宋体" w:hAnsi="宋体" w:eastAsia="宋体"/>
      </w:rPr>
    </w:lvl>
    <w:lvl w:ilvl="1" w:tentative="0">
      <w:start w:val="1"/>
      <w:numFmt w:val="decimal"/>
      <w:lvlText w:val="（%2）"/>
      <w:lvlJc w:val="left"/>
      <w:pPr>
        <w:tabs>
          <w:tab w:val="left" w:pos="113"/>
        </w:tabs>
        <w:ind w:left="1134" w:hanging="680"/>
      </w:pPr>
      <w:rPr>
        <w:rFonts w:hint="eastAsia"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22FC164"/>
    <w:multiLevelType w:val="multilevel"/>
    <w:tmpl w:val="522FC164"/>
    <w:lvl w:ilvl="0" w:tentative="0">
      <w:start w:val="1"/>
      <w:numFmt w:val="decimal"/>
      <w:lvlText w:val="50.%1."/>
      <w:lvlJc w:val="left"/>
      <w:pPr>
        <w:tabs>
          <w:tab w:val="left" w:pos="0"/>
        </w:tabs>
        <w:ind w:left="1470" w:hanging="420"/>
      </w:pPr>
      <w:rPr>
        <w:rFonts w:hint="default" w:ascii="宋体" w:hAnsi="宋体" w:eastAsia="宋体" w:cs="宋体"/>
      </w:rPr>
    </w:lvl>
    <w:lvl w:ilvl="1" w:tentative="0">
      <w:start w:val="1"/>
      <w:numFmt w:val="lowerLetter"/>
      <w:lvlText w:val="%2)"/>
      <w:lvlJc w:val="left"/>
      <w:pPr>
        <w:tabs>
          <w:tab w:val="left" w:pos="0"/>
        </w:tabs>
        <w:ind w:left="1464" w:hanging="420"/>
      </w:pPr>
      <w:rPr>
        <w:rFonts w:hint="eastAsia"/>
      </w:rPr>
    </w:lvl>
    <w:lvl w:ilvl="2" w:tentative="0">
      <w:start w:val="1"/>
      <w:numFmt w:val="lowerRoman"/>
      <w:lvlText w:val="%3."/>
      <w:lvlJc w:val="right"/>
      <w:pPr>
        <w:tabs>
          <w:tab w:val="left" w:pos="0"/>
        </w:tabs>
        <w:ind w:left="1884" w:hanging="420"/>
      </w:pPr>
      <w:rPr>
        <w:rFonts w:hint="eastAsia"/>
      </w:rPr>
    </w:lvl>
    <w:lvl w:ilvl="3" w:tentative="0">
      <w:start w:val="1"/>
      <w:numFmt w:val="decimal"/>
      <w:lvlText w:val="%4."/>
      <w:lvlJc w:val="left"/>
      <w:pPr>
        <w:tabs>
          <w:tab w:val="left" w:pos="0"/>
        </w:tabs>
        <w:ind w:left="2304" w:hanging="420"/>
      </w:pPr>
      <w:rPr>
        <w:rFonts w:hint="eastAsia"/>
      </w:rPr>
    </w:lvl>
    <w:lvl w:ilvl="4" w:tentative="0">
      <w:start w:val="1"/>
      <w:numFmt w:val="lowerLetter"/>
      <w:lvlText w:val="%5)"/>
      <w:lvlJc w:val="left"/>
      <w:pPr>
        <w:tabs>
          <w:tab w:val="left" w:pos="0"/>
        </w:tabs>
        <w:ind w:left="2724" w:hanging="420"/>
      </w:pPr>
      <w:rPr>
        <w:rFonts w:hint="eastAsia"/>
      </w:rPr>
    </w:lvl>
    <w:lvl w:ilvl="5" w:tentative="0">
      <w:start w:val="1"/>
      <w:numFmt w:val="lowerRoman"/>
      <w:lvlText w:val="%6."/>
      <w:lvlJc w:val="right"/>
      <w:pPr>
        <w:tabs>
          <w:tab w:val="left" w:pos="0"/>
        </w:tabs>
        <w:ind w:left="3144" w:hanging="420"/>
      </w:pPr>
      <w:rPr>
        <w:rFonts w:hint="eastAsia"/>
      </w:rPr>
    </w:lvl>
    <w:lvl w:ilvl="6" w:tentative="0">
      <w:start w:val="1"/>
      <w:numFmt w:val="decimal"/>
      <w:lvlText w:val="%7."/>
      <w:lvlJc w:val="left"/>
      <w:pPr>
        <w:tabs>
          <w:tab w:val="left" w:pos="0"/>
        </w:tabs>
        <w:ind w:left="3564" w:hanging="420"/>
      </w:pPr>
      <w:rPr>
        <w:rFonts w:hint="eastAsia"/>
      </w:rPr>
    </w:lvl>
    <w:lvl w:ilvl="7" w:tentative="0">
      <w:start w:val="1"/>
      <w:numFmt w:val="lowerLetter"/>
      <w:lvlText w:val="%8)"/>
      <w:lvlJc w:val="left"/>
      <w:pPr>
        <w:tabs>
          <w:tab w:val="left" w:pos="0"/>
        </w:tabs>
        <w:ind w:left="3984" w:hanging="420"/>
      </w:pPr>
      <w:rPr>
        <w:rFonts w:hint="eastAsia"/>
      </w:rPr>
    </w:lvl>
    <w:lvl w:ilvl="8" w:tentative="0">
      <w:start w:val="1"/>
      <w:numFmt w:val="lowerRoman"/>
      <w:lvlText w:val="%9."/>
      <w:lvlJc w:val="right"/>
      <w:pPr>
        <w:tabs>
          <w:tab w:val="left" w:pos="0"/>
        </w:tabs>
        <w:ind w:left="4404" w:hanging="420"/>
      </w:pPr>
      <w:rPr>
        <w:rFonts w:hint="eastAsia"/>
      </w:rPr>
    </w:lvl>
  </w:abstractNum>
  <w:abstractNum w:abstractNumId="52">
    <w:nsid w:val="528D26C3"/>
    <w:multiLevelType w:val="multilevel"/>
    <w:tmpl w:val="528D26C3"/>
    <w:lvl w:ilvl="0" w:tentative="0">
      <w:start w:val="1"/>
      <w:numFmt w:val="chineseCountingThousand"/>
      <w:lvlText w:val="%1、"/>
      <w:lvlJc w:val="left"/>
      <w:pPr>
        <w:tabs>
          <w:tab w:val="left" w:pos="720"/>
        </w:tabs>
        <w:ind w:left="720" w:hanging="720"/>
      </w:pPr>
      <w:rPr>
        <w:rFonts w:hint="eastAsia"/>
      </w:rPr>
    </w:lvl>
    <w:lvl w:ilvl="1" w:tentative="0">
      <w:start w:val="1"/>
      <w:numFmt w:val="decimal"/>
      <w:lvlText w:val="1.%2"/>
      <w:lvlJc w:val="left"/>
      <w:pPr>
        <w:tabs>
          <w:tab w:val="left" w:pos="0"/>
        </w:tabs>
        <w:ind w:left="567" w:hanging="454"/>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06487D"/>
    <w:multiLevelType w:val="multilevel"/>
    <w:tmpl w:val="5706487D"/>
    <w:lvl w:ilvl="0" w:tentative="0">
      <w:start w:val="1"/>
      <w:numFmt w:val="decimal"/>
      <w:lvlText w:val="5.%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570C924A"/>
    <w:multiLevelType w:val="multilevel"/>
    <w:tmpl w:val="570C924A"/>
    <w:lvl w:ilvl="0" w:tentative="0">
      <w:start w:val="1"/>
      <w:numFmt w:val="decimal"/>
      <w:lvlText w:val="38.%1"/>
      <w:lvlJc w:val="left"/>
      <w:pPr>
        <w:tabs>
          <w:tab w:val="left" w:pos="0"/>
        </w:tabs>
        <w:ind w:left="567" w:hanging="454"/>
      </w:pPr>
      <w:rPr>
        <w:rFonts w:hint="default"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5">
    <w:nsid w:val="59696569"/>
    <w:multiLevelType w:val="multilevel"/>
    <w:tmpl w:val="59696569"/>
    <w:lvl w:ilvl="0" w:tentative="0">
      <w:start w:val="1"/>
      <w:numFmt w:val="decimal"/>
      <w:lvlText w:val="33.%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6">
    <w:nsid w:val="59C27864"/>
    <w:multiLevelType w:val="multilevel"/>
    <w:tmpl w:val="59C27864"/>
    <w:lvl w:ilvl="0" w:tentative="0">
      <w:start w:val="1"/>
      <w:numFmt w:val="decimal"/>
      <w:lvlText w:val="48.%1."/>
      <w:lvlJc w:val="left"/>
      <w:pPr>
        <w:tabs>
          <w:tab w:val="left" w:pos="0"/>
        </w:tabs>
        <w:ind w:left="1470" w:hanging="420"/>
      </w:pPr>
      <w:rPr>
        <w:rFonts w:hint="default" w:ascii="宋体" w:hAnsi="宋体" w:eastAsia="宋体" w:cs="宋体"/>
      </w:rPr>
    </w:lvl>
    <w:lvl w:ilvl="1" w:tentative="0">
      <w:start w:val="1"/>
      <w:numFmt w:val="lowerLetter"/>
      <w:lvlText w:val="%2)"/>
      <w:lvlJc w:val="left"/>
      <w:pPr>
        <w:tabs>
          <w:tab w:val="left" w:pos="0"/>
        </w:tabs>
        <w:ind w:left="1464" w:hanging="420"/>
      </w:pPr>
      <w:rPr>
        <w:rFonts w:hint="eastAsia"/>
      </w:rPr>
    </w:lvl>
    <w:lvl w:ilvl="2" w:tentative="0">
      <w:start w:val="1"/>
      <w:numFmt w:val="lowerRoman"/>
      <w:lvlText w:val="%3."/>
      <w:lvlJc w:val="right"/>
      <w:pPr>
        <w:tabs>
          <w:tab w:val="left" w:pos="0"/>
        </w:tabs>
        <w:ind w:left="1884" w:hanging="420"/>
      </w:pPr>
      <w:rPr>
        <w:rFonts w:hint="eastAsia"/>
      </w:rPr>
    </w:lvl>
    <w:lvl w:ilvl="3" w:tentative="0">
      <w:start w:val="1"/>
      <w:numFmt w:val="decimal"/>
      <w:lvlText w:val="%4."/>
      <w:lvlJc w:val="left"/>
      <w:pPr>
        <w:tabs>
          <w:tab w:val="left" w:pos="0"/>
        </w:tabs>
        <w:ind w:left="2304" w:hanging="420"/>
      </w:pPr>
      <w:rPr>
        <w:rFonts w:hint="eastAsia"/>
      </w:rPr>
    </w:lvl>
    <w:lvl w:ilvl="4" w:tentative="0">
      <w:start w:val="1"/>
      <w:numFmt w:val="lowerLetter"/>
      <w:lvlText w:val="%5)"/>
      <w:lvlJc w:val="left"/>
      <w:pPr>
        <w:tabs>
          <w:tab w:val="left" w:pos="0"/>
        </w:tabs>
        <w:ind w:left="2724" w:hanging="420"/>
      </w:pPr>
      <w:rPr>
        <w:rFonts w:hint="eastAsia"/>
      </w:rPr>
    </w:lvl>
    <w:lvl w:ilvl="5" w:tentative="0">
      <w:start w:val="1"/>
      <w:numFmt w:val="lowerRoman"/>
      <w:lvlText w:val="%6."/>
      <w:lvlJc w:val="right"/>
      <w:pPr>
        <w:tabs>
          <w:tab w:val="left" w:pos="0"/>
        </w:tabs>
        <w:ind w:left="3144" w:hanging="420"/>
      </w:pPr>
      <w:rPr>
        <w:rFonts w:hint="eastAsia"/>
      </w:rPr>
    </w:lvl>
    <w:lvl w:ilvl="6" w:tentative="0">
      <w:start w:val="1"/>
      <w:numFmt w:val="decimal"/>
      <w:lvlText w:val="%7."/>
      <w:lvlJc w:val="left"/>
      <w:pPr>
        <w:tabs>
          <w:tab w:val="left" w:pos="0"/>
        </w:tabs>
        <w:ind w:left="3564" w:hanging="420"/>
      </w:pPr>
      <w:rPr>
        <w:rFonts w:hint="eastAsia"/>
      </w:rPr>
    </w:lvl>
    <w:lvl w:ilvl="7" w:tentative="0">
      <w:start w:val="1"/>
      <w:numFmt w:val="lowerLetter"/>
      <w:lvlText w:val="%8)"/>
      <w:lvlJc w:val="left"/>
      <w:pPr>
        <w:tabs>
          <w:tab w:val="left" w:pos="0"/>
        </w:tabs>
        <w:ind w:left="3984" w:hanging="420"/>
      </w:pPr>
      <w:rPr>
        <w:rFonts w:hint="eastAsia"/>
      </w:rPr>
    </w:lvl>
    <w:lvl w:ilvl="8" w:tentative="0">
      <w:start w:val="1"/>
      <w:numFmt w:val="lowerRoman"/>
      <w:lvlText w:val="%9."/>
      <w:lvlJc w:val="right"/>
      <w:pPr>
        <w:tabs>
          <w:tab w:val="left" w:pos="0"/>
        </w:tabs>
        <w:ind w:left="4404" w:hanging="420"/>
      </w:pPr>
      <w:rPr>
        <w:rFonts w:hint="eastAsia"/>
      </w:rPr>
    </w:lvl>
  </w:abstractNum>
  <w:abstractNum w:abstractNumId="57">
    <w:nsid w:val="5BF50E80"/>
    <w:multiLevelType w:val="multilevel"/>
    <w:tmpl w:val="5BF50E80"/>
    <w:lvl w:ilvl="0" w:tentative="0">
      <w:start w:val="1"/>
      <w:numFmt w:val="decimal"/>
      <w:lvlText w:val="13.%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29F7852"/>
    <w:multiLevelType w:val="multilevel"/>
    <w:tmpl w:val="629F7852"/>
    <w:lvl w:ilvl="0" w:tentative="0">
      <w:start w:val="1"/>
      <w:numFmt w:val="decimal"/>
      <w:lvlText w:val="（%1）"/>
      <w:lvlJc w:val="left"/>
      <w:pPr>
        <w:ind w:left="17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608" w:hanging="601"/>
      </w:pPr>
      <w:rPr>
        <w:rFonts w:hint="default"/>
        <w:lang w:val="zh-CN" w:eastAsia="zh-CN" w:bidi="zh-CN"/>
      </w:rPr>
    </w:lvl>
    <w:lvl w:ilvl="2" w:tentative="0">
      <w:start w:val="0"/>
      <w:numFmt w:val="bullet"/>
      <w:lvlText w:val="•"/>
      <w:lvlJc w:val="left"/>
      <w:pPr>
        <w:ind w:left="3437" w:hanging="601"/>
      </w:pPr>
      <w:rPr>
        <w:rFonts w:hint="default"/>
        <w:lang w:val="zh-CN" w:eastAsia="zh-CN" w:bidi="zh-CN"/>
      </w:rPr>
    </w:lvl>
    <w:lvl w:ilvl="3" w:tentative="0">
      <w:start w:val="0"/>
      <w:numFmt w:val="bullet"/>
      <w:lvlText w:val="•"/>
      <w:lvlJc w:val="left"/>
      <w:pPr>
        <w:ind w:left="4265" w:hanging="601"/>
      </w:pPr>
      <w:rPr>
        <w:rFonts w:hint="default"/>
        <w:lang w:val="zh-CN" w:eastAsia="zh-CN" w:bidi="zh-CN"/>
      </w:rPr>
    </w:lvl>
    <w:lvl w:ilvl="4" w:tentative="0">
      <w:start w:val="0"/>
      <w:numFmt w:val="bullet"/>
      <w:lvlText w:val="•"/>
      <w:lvlJc w:val="left"/>
      <w:pPr>
        <w:ind w:left="5094" w:hanging="601"/>
      </w:pPr>
      <w:rPr>
        <w:rFonts w:hint="default"/>
        <w:lang w:val="zh-CN" w:eastAsia="zh-CN" w:bidi="zh-CN"/>
      </w:rPr>
    </w:lvl>
    <w:lvl w:ilvl="5" w:tentative="0">
      <w:start w:val="0"/>
      <w:numFmt w:val="bullet"/>
      <w:lvlText w:val="•"/>
      <w:lvlJc w:val="left"/>
      <w:pPr>
        <w:ind w:left="5923" w:hanging="601"/>
      </w:pPr>
      <w:rPr>
        <w:rFonts w:hint="default"/>
        <w:lang w:val="zh-CN" w:eastAsia="zh-CN" w:bidi="zh-CN"/>
      </w:rPr>
    </w:lvl>
    <w:lvl w:ilvl="6" w:tentative="0">
      <w:start w:val="0"/>
      <w:numFmt w:val="bullet"/>
      <w:lvlText w:val="•"/>
      <w:lvlJc w:val="left"/>
      <w:pPr>
        <w:ind w:left="6751" w:hanging="601"/>
      </w:pPr>
      <w:rPr>
        <w:rFonts w:hint="default"/>
        <w:lang w:val="zh-CN" w:eastAsia="zh-CN" w:bidi="zh-CN"/>
      </w:rPr>
    </w:lvl>
    <w:lvl w:ilvl="7" w:tentative="0">
      <w:start w:val="0"/>
      <w:numFmt w:val="bullet"/>
      <w:lvlText w:val="•"/>
      <w:lvlJc w:val="left"/>
      <w:pPr>
        <w:ind w:left="7580" w:hanging="601"/>
      </w:pPr>
      <w:rPr>
        <w:rFonts w:hint="default"/>
        <w:lang w:val="zh-CN" w:eastAsia="zh-CN" w:bidi="zh-CN"/>
      </w:rPr>
    </w:lvl>
    <w:lvl w:ilvl="8" w:tentative="0">
      <w:start w:val="0"/>
      <w:numFmt w:val="bullet"/>
      <w:lvlText w:val="•"/>
      <w:lvlJc w:val="left"/>
      <w:pPr>
        <w:ind w:left="8408" w:hanging="601"/>
      </w:pPr>
      <w:rPr>
        <w:rFonts w:hint="default"/>
        <w:lang w:val="zh-CN" w:eastAsia="zh-CN" w:bidi="zh-CN"/>
      </w:rPr>
    </w:lvl>
  </w:abstractNum>
  <w:abstractNum w:abstractNumId="59">
    <w:nsid w:val="6D704008"/>
    <w:multiLevelType w:val="multilevel"/>
    <w:tmpl w:val="6D704008"/>
    <w:lvl w:ilvl="0" w:tentative="0">
      <w:start w:val="1"/>
      <w:numFmt w:val="decimal"/>
      <w:lvlText w:val="19.%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6DE37DDB"/>
    <w:multiLevelType w:val="multilevel"/>
    <w:tmpl w:val="6DE37DDB"/>
    <w:lvl w:ilvl="0" w:tentative="0">
      <w:start w:val="1"/>
      <w:numFmt w:val="decimal"/>
      <w:lvlText w:val="18.%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715468C2"/>
    <w:multiLevelType w:val="multilevel"/>
    <w:tmpl w:val="715468C2"/>
    <w:lvl w:ilvl="0" w:tentative="0">
      <w:start w:val="1"/>
      <w:numFmt w:val="decimal"/>
      <w:lvlText w:val="26.%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72377AED"/>
    <w:multiLevelType w:val="multilevel"/>
    <w:tmpl w:val="72377AED"/>
    <w:lvl w:ilvl="0" w:tentative="0">
      <w:start w:val="1"/>
      <w:numFmt w:val="decimal"/>
      <w:lvlText w:val="4.%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47D2F81"/>
    <w:multiLevelType w:val="multilevel"/>
    <w:tmpl w:val="747D2F81"/>
    <w:lvl w:ilvl="0" w:tentative="0">
      <w:start w:val="1"/>
      <w:numFmt w:val="decimal"/>
      <w:lvlText w:val="32.%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4">
    <w:nsid w:val="750D4FFF"/>
    <w:multiLevelType w:val="multilevel"/>
    <w:tmpl w:val="750D4FFF"/>
    <w:lvl w:ilvl="0" w:tentative="0">
      <w:start w:val="1"/>
      <w:numFmt w:val="decimal"/>
      <w:lvlText w:val="14.%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774F6964"/>
    <w:multiLevelType w:val="multilevel"/>
    <w:tmpl w:val="774F6964"/>
    <w:lvl w:ilvl="0" w:tentative="0">
      <w:start w:val="1"/>
      <w:numFmt w:val="decimal"/>
      <w:lvlText w:val="23.%1"/>
      <w:lvlJc w:val="left"/>
      <w:pPr>
        <w:tabs>
          <w:tab w:val="left" w:pos="0"/>
        </w:tabs>
        <w:ind w:left="567" w:hanging="454"/>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77DC07C5"/>
    <w:multiLevelType w:val="multilevel"/>
    <w:tmpl w:val="77DC07C5"/>
    <w:lvl w:ilvl="0" w:tentative="0">
      <w:start w:val="1"/>
      <w:numFmt w:val="decimal"/>
      <w:lvlText w:val="8.%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7ECEA79"/>
    <w:multiLevelType w:val="multilevel"/>
    <w:tmpl w:val="77ECEA79"/>
    <w:lvl w:ilvl="0" w:tentative="0">
      <w:start w:val="1"/>
      <w:numFmt w:val="decimal"/>
      <w:lvlText w:val="（%1）"/>
      <w:lvlJc w:val="left"/>
      <w:pPr>
        <w:ind w:left="18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662" w:hanging="601"/>
      </w:pPr>
      <w:rPr>
        <w:rFonts w:hint="default"/>
        <w:lang w:val="zh-CN" w:eastAsia="zh-CN" w:bidi="zh-CN"/>
      </w:rPr>
    </w:lvl>
    <w:lvl w:ilvl="2" w:tentative="0">
      <w:start w:val="0"/>
      <w:numFmt w:val="bullet"/>
      <w:lvlText w:val="•"/>
      <w:lvlJc w:val="left"/>
      <w:pPr>
        <w:ind w:left="3485" w:hanging="601"/>
      </w:pPr>
      <w:rPr>
        <w:rFonts w:hint="default"/>
        <w:lang w:val="zh-CN" w:eastAsia="zh-CN" w:bidi="zh-CN"/>
      </w:rPr>
    </w:lvl>
    <w:lvl w:ilvl="3" w:tentative="0">
      <w:start w:val="0"/>
      <w:numFmt w:val="bullet"/>
      <w:lvlText w:val="•"/>
      <w:lvlJc w:val="left"/>
      <w:pPr>
        <w:ind w:left="4307" w:hanging="601"/>
      </w:pPr>
      <w:rPr>
        <w:rFonts w:hint="default"/>
        <w:lang w:val="zh-CN" w:eastAsia="zh-CN" w:bidi="zh-CN"/>
      </w:rPr>
    </w:lvl>
    <w:lvl w:ilvl="4" w:tentative="0">
      <w:start w:val="0"/>
      <w:numFmt w:val="bullet"/>
      <w:lvlText w:val="•"/>
      <w:lvlJc w:val="left"/>
      <w:pPr>
        <w:ind w:left="5130" w:hanging="601"/>
      </w:pPr>
      <w:rPr>
        <w:rFonts w:hint="default"/>
        <w:lang w:val="zh-CN" w:eastAsia="zh-CN" w:bidi="zh-CN"/>
      </w:rPr>
    </w:lvl>
    <w:lvl w:ilvl="5" w:tentative="0">
      <w:start w:val="0"/>
      <w:numFmt w:val="bullet"/>
      <w:lvlText w:val="•"/>
      <w:lvlJc w:val="left"/>
      <w:pPr>
        <w:ind w:left="5953" w:hanging="601"/>
      </w:pPr>
      <w:rPr>
        <w:rFonts w:hint="default"/>
        <w:lang w:val="zh-CN" w:eastAsia="zh-CN" w:bidi="zh-CN"/>
      </w:rPr>
    </w:lvl>
    <w:lvl w:ilvl="6" w:tentative="0">
      <w:start w:val="0"/>
      <w:numFmt w:val="bullet"/>
      <w:lvlText w:val="•"/>
      <w:lvlJc w:val="left"/>
      <w:pPr>
        <w:ind w:left="6775" w:hanging="601"/>
      </w:pPr>
      <w:rPr>
        <w:rFonts w:hint="default"/>
        <w:lang w:val="zh-CN" w:eastAsia="zh-CN" w:bidi="zh-CN"/>
      </w:rPr>
    </w:lvl>
    <w:lvl w:ilvl="7" w:tentative="0">
      <w:start w:val="0"/>
      <w:numFmt w:val="bullet"/>
      <w:lvlText w:val="•"/>
      <w:lvlJc w:val="left"/>
      <w:pPr>
        <w:ind w:left="7598" w:hanging="601"/>
      </w:pPr>
      <w:rPr>
        <w:rFonts w:hint="default"/>
        <w:lang w:val="zh-CN" w:eastAsia="zh-CN" w:bidi="zh-CN"/>
      </w:rPr>
    </w:lvl>
    <w:lvl w:ilvl="8" w:tentative="0">
      <w:start w:val="0"/>
      <w:numFmt w:val="bullet"/>
      <w:lvlText w:val="•"/>
      <w:lvlJc w:val="left"/>
      <w:pPr>
        <w:ind w:left="8420" w:hanging="601"/>
      </w:pPr>
      <w:rPr>
        <w:rFonts w:hint="default"/>
        <w:lang w:val="zh-CN" w:eastAsia="zh-CN" w:bidi="zh-CN"/>
      </w:rPr>
    </w:lvl>
  </w:abstractNum>
  <w:abstractNum w:abstractNumId="68">
    <w:nsid w:val="7C246926"/>
    <w:multiLevelType w:val="multilevel"/>
    <w:tmpl w:val="7C246926"/>
    <w:lvl w:ilvl="0" w:tentative="0">
      <w:start w:val="4"/>
      <w:numFmt w:val="decimal"/>
      <w:lvlText w:val="%1."/>
      <w:lvlJc w:val="left"/>
      <w:pPr>
        <w:ind w:left="1003" w:hanging="244"/>
      </w:pPr>
      <w:rPr>
        <w:rFonts w:hint="default" w:ascii="宋体" w:hAnsi="宋体" w:eastAsia="宋体" w:cs="宋体"/>
        <w:b/>
        <w:bCs/>
        <w:spacing w:val="-3"/>
        <w:w w:val="99"/>
        <w:sz w:val="22"/>
        <w:szCs w:val="22"/>
        <w:lang w:val="zh-CN" w:eastAsia="zh-CN" w:bidi="zh-CN"/>
      </w:rPr>
    </w:lvl>
    <w:lvl w:ilvl="1" w:tentative="0">
      <w:start w:val="1"/>
      <w:numFmt w:val="decimal"/>
      <w:lvlText w:val="（%2）"/>
      <w:lvlJc w:val="left"/>
      <w:pPr>
        <w:ind w:left="760" w:hanging="603"/>
      </w:pPr>
      <w:rPr>
        <w:rFonts w:hint="default" w:ascii="宋体" w:hAnsi="宋体" w:eastAsia="宋体" w:cs="宋体"/>
        <w:w w:val="100"/>
        <w:sz w:val="22"/>
        <w:szCs w:val="22"/>
        <w:lang w:val="zh-CN" w:eastAsia="zh-CN" w:bidi="zh-CN"/>
      </w:rPr>
    </w:lvl>
    <w:lvl w:ilvl="2" w:tentative="0">
      <w:start w:val="0"/>
      <w:numFmt w:val="bullet"/>
      <w:lvlText w:val="•"/>
      <w:lvlJc w:val="left"/>
      <w:pPr>
        <w:ind w:left="2007" w:hanging="603"/>
      </w:pPr>
      <w:rPr>
        <w:rFonts w:hint="default"/>
        <w:lang w:val="zh-CN" w:eastAsia="zh-CN" w:bidi="zh-CN"/>
      </w:rPr>
    </w:lvl>
    <w:lvl w:ilvl="3" w:tentative="0">
      <w:start w:val="0"/>
      <w:numFmt w:val="bullet"/>
      <w:lvlText w:val="•"/>
      <w:lvlJc w:val="left"/>
      <w:pPr>
        <w:ind w:left="3014" w:hanging="603"/>
      </w:pPr>
      <w:rPr>
        <w:rFonts w:hint="default"/>
        <w:lang w:val="zh-CN" w:eastAsia="zh-CN" w:bidi="zh-CN"/>
      </w:rPr>
    </w:lvl>
    <w:lvl w:ilvl="4" w:tentative="0">
      <w:start w:val="0"/>
      <w:numFmt w:val="bullet"/>
      <w:lvlText w:val="•"/>
      <w:lvlJc w:val="left"/>
      <w:pPr>
        <w:ind w:left="4022" w:hanging="603"/>
      </w:pPr>
      <w:rPr>
        <w:rFonts w:hint="default"/>
        <w:lang w:val="zh-CN" w:eastAsia="zh-CN" w:bidi="zh-CN"/>
      </w:rPr>
    </w:lvl>
    <w:lvl w:ilvl="5" w:tentative="0">
      <w:start w:val="0"/>
      <w:numFmt w:val="bullet"/>
      <w:lvlText w:val="•"/>
      <w:lvlJc w:val="left"/>
      <w:pPr>
        <w:ind w:left="5029" w:hanging="603"/>
      </w:pPr>
      <w:rPr>
        <w:rFonts w:hint="default"/>
        <w:lang w:val="zh-CN" w:eastAsia="zh-CN" w:bidi="zh-CN"/>
      </w:rPr>
    </w:lvl>
    <w:lvl w:ilvl="6" w:tentative="0">
      <w:start w:val="0"/>
      <w:numFmt w:val="bullet"/>
      <w:lvlText w:val="•"/>
      <w:lvlJc w:val="left"/>
      <w:pPr>
        <w:ind w:left="6036" w:hanging="603"/>
      </w:pPr>
      <w:rPr>
        <w:rFonts w:hint="default"/>
        <w:lang w:val="zh-CN" w:eastAsia="zh-CN" w:bidi="zh-CN"/>
      </w:rPr>
    </w:lvl>
    <w:lvl w:ilvl="7" w:tentative="0">
      <w:start w:val="0"/>
      <w:numFmt w:val="bullet"/>
      <w:lvlText w:val="•"/>
      <w:lvlJc w:val="left"/>
      <w:pPr>
        <w:ind w:left="7044" w:hanging="603"/>
      </w:pPr>
      <w:rPr>
        <w:rFonts w:hint="default"/>
        <w:lang w:val="zh-CN" w:eastAsia="zh-CN" w:bidi="zh-CN"/>
      </w:rPr>
    </w:lvl>
    <w:lvl w:ilvl="8" w:tentative="0">
      <w:start w:val="0"/>
      <w:numFmt w:val="bullet"/>
      <w:lvlText w:val="•"/>
      <w:lvlJc w:val="left"/>
      <w:pPr>
        <w:ind w:left="8051" w:hanging="603"/>
      </w:pPr>
      <w:rPr>
        <w:rFonts w:hint="default"/>
        <w:lang w:val="zh-CN" w:eastAsia="zh-CN" w:bidi="zh-CN"/>
      </w:rPr>
    </w:lvl>
  </w:abstractNum>
  <w:abstractNum w:abstractNumId="69">
    <w:nsid w:val="7CBC1D06"/>
    <w:multiLevelType w:val="multilevel"/>
    <w:tmpl w:val="7CBC1D06"/>
    <w:lvl w:ilvl="0" w:tentative="0">
      <w:start w:val="1"/>
      <w:numFmt w:val="decimal"/>
      <w:lvlText w:val="2.%1"/>
      <w:lvlJc w:val="left"/>
      <w:pPr>
        <w:tabs>
          <w:tab w:val="left" w:pos="0"/>
        </w:tabs>
        <w:ind w:left="567" w:hanging="454"/>
      </w:pPr>
      <w:rPr>
        <w:rFonts w:hint="eastAsia"/>
      </w:rPr>
    </w:lvl>
    <w:lvl w:ilvl="1" w:tentative="0">
      <w:start w:val="1"/>
      <w:numFmt w:val="decimal"/>
      <w:lvlText w:val="2.4.%2"/>
      <w:lvlJc w:val="left"/>
      <w:pPr>
        <w:tabs>
          <w:tab w:val="left" w:pos="0"/>
        </w:tabs>
        <w:ind w:left="1021" w:hanging="90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DEC2089"/>
    <w:multiLevelType w:val="multilevel"/>
    <w:tmpl w:val="7DEC2089"/>
    <w:lvl w:ilvl="0" w:tentative="0">
      <w:start w:val="1"/>
      <w:numFmt w:val="decimal"/>
      <w:lvlText w:val="%1)"/>
      <w:lvlJc w:val="left"/>
      <w:pPr>
        <w:ind w:left="653" w:hanging="421"/>
      </w:pPr>
      <w:rPr>
        <w:rFonts w:hint="default" w:ascii="宋体" w:hAnsi="宋体" w:eastAsia="宋体" w:cs="宋体"/>
        <w:b/>
        <w:bCs/>
        <w:w w:val="99"/>
        <w:sz w:val="21"/>
        <w:szCs w:val="21"/>
        <w:lang w:val="zh-CN" w:eastAsia="zh-CN" w:bidi="zh-CN"/>
      </w:rPr>
    </w:lvl>
    <w:lvl w:ilvl="1" w:tentative="0">
      <w:start w:val="2"/>
      <w:numFmt w:val="lowerLetter"/>
      <w:lvlText w:val="%2."/>
      <w:lvlJc w:val="left"/>
      <w:pPr>
        <w:ind w:left="865" w:hanging="213"/>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1891" w:hanging="213"/>
      </w:pPr>
      <w:rPr>
        <w:rFonts w:hint="default"/>
        <w:lang w:val="zh-CN" w:eastAsia="zh-CN" w:bidi="zh-CN"/>
      </w:rPr>
    </w:lvl>
    <w:lvl w:ilvl="3" w:tentative="0">
      <w:start w:val="0"/>
      <w:numFmt w:val="bullet"/>
      <w:lvlText w:val="•"/>
      <w:lvlJc w:val="left"/>
      <w:pPr>
        <w:ind w:left="2923" w:hanging="213"/>
      </w:pPr>
      <w:rPr>
        <w:rFonts w:hint="default"/>
        <w:lang w:val="zh-CN" w:eastAsia="zh-CN" w:bidi="zh-CN"/>
      </w:rPr>
    </w:lvl>
    <w:lvl w:ilvl="4" w:tentative="0">
      <w:start w:val="0"/>
      <w:numFmt w:val="bullet"/>
      <w:lvlText w:val="•"/>
      <w:lvlJc w:val="left"/>
      <w:pPr>
        <w:ind w:left="3955" w:hanging="213"/>
      </w:pPr>
      <w:rPr>
        <w:rFonts w:hint="default"/>
        <w:lang w:val="zh-CN" w:eastAsia="zh-CN" w:bidi="zh-CN"/>
      </w:rPr>
    </w:lvl>
    <w:lvl w:ilvl="5" w:tentative="0">
      <w:start w:val="0"/>
      <w:numFmt w:val="bullet"/>
      <w:lvlText w:val="•"/>
      <w:lvlJc w:val="left"/>
      <w:pPr>
        <w:ind w:left="4987" w:hanging="213"/>
      </w:pPr>
      <w:rPr>
        <w:rFonts w:hint="default"/>
        <w:lang w:val="zh-CN" w:eastAsia="zh-CN" w:bidi="zh-CN"/>
      </w:rPr>
    </w:lvl>
    <w:lvl w:ilvl="6" w:tentative="0">
      <w:start w:val="0"/>
      <w:numFmt w:val="bullet"/>
      <w:lvlText w:val="•"/>
      <w:lvlJc w:val="left"/>
      <w:pPr>
        <w:ind w:left="6019" w:hanging="213"/>
      </w:pPr>
      <w:rPr>
        <w:rFonts w:hint="default"/>
        <w:lang w:val="zh-CN" w:eastAsia="zh-CN" w:bidi="zh-CN"/>
      </w:rPr>
    </w:lvl>
    <w:lvl w:ilvl="7" w:tentative="0">
      <w:start w:val="0"/>
      <w:numFmt w:val="bullet"/>
      <w:lvlText w:val="•"/>
      <w:lvlJc w:val="left"/>
      <w:pPr>
        <w:ind w:left="7050" w:hanging="213"/>
      </w:pPr>
      <w:rPr>
        <w:rFonts w:hint="default"/>
        <w:lang w:val="zh-CN" w:eastAsia="zh-CN" w:bidi="zh-CN"/>
      </w:rPr>
    </w:lvl>
    <w:lvl w:ilvl="8" w:tentative="0">
      <w:start w:val="0"/>
      <w:numFmt w:val="bullet"/>
      <w:lvlText w:val="•"/>
      <w:lvlJc w:val="left"/>
      <w:pPr>
        <w:ind w:left="8082" w:hanging="213"/>
      </w:pPr>
      <w:rPr>
        <w:rFonts w:hint="default"/>
        <w:lang w:val="zh-CN" w:eastAsia="zh-CN" w:bidi="zh-CN"/>
      </w:rPr>
    </w:lvl>
  </w:abstractNum>
  <w:abstractNum w:abstractNumId="71">
    <w:nsid w:val="7EA728F9"/>
    <w:multiLevelType w:val="multilevel"/>
    <w:tmpl w:val="7EA728F9"/>
    <w:lvl w:ilvl="0" w:tentative="0">
      <w:start w:val="1"/>
      <w:numFmt w:val="decimal"/>
      <w:lvlText w:val="10.%1"/>
      <w:lvlJc w:val="left"/>
      <w:pPr>
        <w:tabs>
          <w:tab w:val="left" w:pos="0"/>
        </w:tabs>
        <w:ind w:left="567"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7FA66705"/>
    <w:multiLevelType w:val="multilevel"/>
    <w:tmpl w:val="7FA66705"/>
    <w:lvl w:ilvl="0" w:tentative="0">
      <w:start w:val="1"/>
      <w:numFmt w:val="decimal"/>
      <w:lvlText w:val="7.%1"/>
      <w:lvlJc w:val="left"/>
      <w:pPr>
        <w:tabs>
          <w:tab w:val="left" w:pos="0"/>
        </w:tabs>
        <w:ind w:left="567" w:hanging="454"/>
      </w:pPr>
      <w:rPr>
        <w:rFonts w:hint="eastAsia"/>
      </w:rPr>
    </w:lvl>
    <w:lvl w:ilvl="1" w:tentative="0">
      <w:start w:val="1"/>
      <w:numFmt w:val="none"/>
      <w:lvlText w:val="7.2.1"/>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42"/>
  </w:num>
  <w:num w:numId="2">
    <w:abstractNumId w:val="49"/>
  </w:num>
  <w:num w:numId="3">
    <w:abstractNumId w:val="52"/>
  </w:num>
  <w:num w:numId="4">
    <w:abstractNumId w:val="69"/>
  </w:num>
  <w:num w:numId="5">
    <w:abstractNumId w:val="46"/>
  </w:num>
  <w:num w:numId="6">
    <w:abstractNumId w:val="62"/>
  </w:num>
  <w:num w:numId="7">
    <w:abstractNumId w:val="53"/>
  </w:num>
  <w:num w:numId="8">
    <w:abstractNumId w:val="44"/>
  </w:num>
  <w:num w:numId="9">
    <w:abstractNumId w:val="35"/>
  </w:num>
  <w:num w:numId="10">
    <w:abstractNumId w:val="72"/>
  </w:num>
  <w:num w:numId="11">
    <w:abstractNumId w:val="21"/>
  </w:num>
  <w:num w:numId="12">
    <w:abstractNumId w:val="66"/>
  </w:num>
  <w:num w:numId="13">
    <w:abstractNumId w:val="38"/>
  </w:num>
  <w:num w:numId="14">
    <w:abstractNumId w:val="71"/>
  </w:num>
  <w:num w:numId="15">
    <w:abstractNumId w:val="12"/>
  </w:num>
  <w:num w:numId="16">
    <w:abstractNumId w:val="25"/>
  </w:num>
  <w:num w:numId="17">
    <w:abstractNumId w:val="57"/>
  </w:num>
  <w:num w:numId="18">
    <w:abstractNumId w:val="64"/>
  </w:num>
  <w:num w:numId="19">
    <w:abstractNumId w:val="14"/>
  </w:num>
  <w:num w:numId="20">
    <w:abstractNumId w:val="28"/>
  </w:num>
  <w:num w:numId="21">
    <w:abstractNumId w:val="47"/>
  </w:num>
  <w:num w:numId="22">
    <w:abstractNumId w:val="33"/>
  </w:num>
  <w:num w:numId="23">
    <w:abstractNumId w:val="60"/>
  </w:num>
  <w:num w:numId="24">
    <w:abstractNumId w:val="59"/>
  </w:num>
  <w:num w:numId="25">
    <w:abstractNumId w:val="45"/>
  </w:num>
  <w:num w:numId="26">
    <w:abstractNumId w:val="50"/>
  </w:num>
  <w:num w:numId="27">
    <w:abstractNumId w:val="24"/>
  </w:num>
  <w:num w:numId="28">
    <w:abstractNumId w:val="65"/>
  </w:num>
  <w:num w:numId="29">
    <w:abstractNumId w:val="30"/>
  </w:num>
  <w:num w:numId="30">
    <w:abstractNumId w:val="39"/>
  </w:num>
  <w:num w:numId="31">
    <w:abstractNumId w:val="61"/>
  </w:num>
  <w:num w:numId="32">
    <w:abstractNumId w:val="17"/>
  </w:num>
  <w:num w:numId="33">
    <w:abstractNumId w:val="32"/>
  </w:num>
  <w:num w:numId="34">
    <w:abstractNumId w:val="27"/>
  </w:num>
  <w:num w:numId="35">
    <w:abstractNumId w:val="37"/>
  </w:num>
  <w:num w:numId="36">
    <w:abstractNumId w:val="19"/>
  </w:num>
  <w:num w:numId="37">
    <w:abstractNumId w:val="31"/>
  </w:num>
  <w:num w:numId="38">
    <w:abstractNumId w:val="63"/>
  </w:num>
  <w:num w:numId="39">
    <w:abstractNumId w:val="40"/>
  </w:num>
  <w:num w:numId="40">
    <w:abstractNumId w:val="55"/>
  </w:num>
  <w:num w:numId="41">
    <w:abstractNumId w:val="26"/>
  </w:num>
  <w:num w:numId="42">
    <w:abstractNumId w:val="23"/>
  </w:num>
  <w:num w:numId="43">
    <w:abstractNumId w:val="15"/>
  </w:num>
  <w:num w:numId="44">
    <w:abstractNumId w:val="16"/>
  </w:num>
  <w:num w:numId="45">
    <w:abstractNumId w:val="13"/>
  </w:num>
  <w:num w:numId="46">
    <w:abstractNumId w:val="29"/>
  </w:num>
  <w:num w:numId="47">
    <w:abstractNumId w:val="70"/>
  </w:num>
  <w:num w:numId="48">
    <w:abstractNumId w:val="0"/>
  </w:num>
  <w:num w:numId="49">
    <w:abstractNumId w:val="9"/>
  </w:num>
  <w:num w:numId="50">
    <w:abstractNumId w:val="54"/>
  </w:num>
  <w:num w:numId="51">
    <w:abstractNumId w:val="43"/>
  </w:num>
  <w:num w:numId="52">
    <w:abstractNumId w:val="7"/>
  </w:num>
  <w:num w:numId="53">
    <w:abstractNumId w:val="20"/>
  </w:num>
  <w:num w:numId="54">
    <w:abstractNumId w:val="4"/>
  </w:num>
  <w:num w:numId="55">
    <w:abstractNumId w:val="18"/>
  </w:num>
  <w:num w:numId="56">
    <w:abstractNumId w:val="34"/>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6"/>
  </w:num>
  <w:num w:numId="60">
    <w:abstractNumId w:val="51"/>
  </w:num>
  <w:num w:numId="61">
    <w:abstractNumId w:val="67"/>
  </w:num>
  <w:num w:numId="62">
    <w:abstractNumId w:val="5"/>
  </w:num>
  <w:num w:numId="63">
    <w:abstractNumId w:val="58"/>
  </w:num>
  <w:num w:numId="64">
    <w:abstractNumId w:val="2"/>
  </w:num>
  <w:num w:numId="65">
    <w:abstractNumId w:val="41"/>
  </w:num>
  <w:num w:numId="66">
    <w:abstractNumId w:val="10"/>
  </w:num>
  <w:num w:numId="67">
    <w:abstractNumId w:val="8"/>
  </w:num>
  <w:num w:numId="68">
    <w:abstractNumId w:val="36"/>
  </w:num>
  <w:num w:numId="69">
    <w:abstractNumId w:val="48"/>
  </w:num>
  <w:num w:numId="70">
    <w:abstractNumId w:val="3"/>
  </w:num>
  <w:num w:numId="71">
    <w:abstractNumId w:val="68"/>
  </w:num>
  <w:num w:numId="72">
    <w:abstractNumId w:val="1"/>
  </w:num>
  <w:num w:numId="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4F5BA1"/>
    <w:rsid w:val="0004279E"/>
    <w:rsid w:val="000447FC"/>
    <w:rsid w:val="0006180E"/>
    <w:rsid w:val="00083695"/>
    <w:rsid w:val="00087C6B"/>
    <w:rsid w:val="000B3FB3"/>
    <w:rsid w:val="000E0329"/>
    <w:rsid w:val="000F51D6"/>
    <w:rsid w:val="00103AF3"/>
    <w:rsid w:val="00120CE7"/>
    <w:rsid w:val="001510E4"/>
    <w:rsid w:val="00170AD0"/>
    <w:rsid w:val="0022369A"/>
    <w:rsid w:val="0023464C"/>
    <w:rsid w:val="00234D4B"/>
    <w:rsid w:val="00297E9D"/>
    <w:rsid w:val="002B420C"/>
    <w:rsid w:val="002B612D"/>
    <w:rsid w:val="002C2E45"/>
    <w:rsid w:val="002C4982"/>
    <w:rsid w:val="002E3B2C"/>
    <w:rsid w:val="002F7EAC"/>
    <w:rsid w:val="0031161A"/>
    <w:rsid w:val="00313431"/>
    <w:rsid w:val="0031749C"/>
    <w:rsid w:val="00320F27"/>
    <w:rsid w:val="0036273C"/>
    <w:rsid w:val="00391FEC"/>
    <w:rsid w:val="00465EA3"/>
    <w:rsid w:val="00481582"/>
    <w:rsid w:val="004B5C35"/>
    <w:rsid w:val="004D33F6"/>
    <w:rsid w:val="004D353E"/>
    <w:rsid w:val="004D48E9"/>
    <w:rsid w:val="004E53F8"/>
    <w:rsid w:val="004F5BA1"/>
    <w:rsid w:val="0050232E"/>
    <w:rsid w:val="00504A3F"/>
    <w:rsid w:val="00530166"/>
    <w:rsid w:val="00566188"/>
    <w:rsid w:val="00580A89"/>
    <w:rsid w:val="005948D6"/>
    <w:rsid w:val="005D75AB"/>
    <w:rsid w:val="006573D7"/>
    <w:rsid w:val="006716C0"/>
    <w:rsid w:val="00672B6F"/>
    <w:rsid w:val="00681E05"/>
    <w:rsid w:val="00682539"/>
    <w:rsid w:val="00697FB7"/>
    <w:rsid w:val="006C34BA"/>
    <w:rsid w:val="006D0A0C"/>
    <w:rsid w:val="006E7EF9"/>
    <w:rsid w:val="00710616"/>
    <w:rsid w:val="00737540"/>
    <w:rsid w:val="00786D80"/>
    <w:rsid w:val="0079226D"/>
    <w:rsid w:val="007B3B97"/>
    <w:rsid w:val="007C0643"/>
    <w:rsid w:val="007D10D1"/>
    <w:rsid w:val="0081329F"/>
    <w:rsid w:val="008269D3"/>
    <w:rsid w:val="00843EBA"/>
    <w:rsid w:val="008641C5"/>
    <w:rsid w:val="0088382A"/>
    <w:rsid w:val="008A0538"/>
    <w:rsid w:val="008B3D7A"/>
    <w:rsid w:val="008C3CC0"/>
    <w:rsid w:val="008C7220"/>
    <w:rsid w:val="00924696"/>
    <w:rsid w:val="00957441"/>
    <w:rsid w:val="00960CDC"/>
    <w:rsid w:val="00967E4E"/>
    <w:rsid w:val="0097115B"/>
    <w:rsid w:val="00972C4D"/>
    <w:rsid w:val="009763FD"/>
    <w:rsid w:val="0099624A"/>
    <w:rsid w:val="009A6855"/>
    <w:rsid w:val="00A124E5"/>
    <w:rsid w:val="00A1579D"/>
    <w:rsid w:val="00A221E0"/>
    <w:rsid w:val="00A2571A"/>
    <w:rsid w:val="00A73172"/>
    <w:rsid w:val="00A82DC8"/>
    <w:rsid w:val="00A85D39"/>
    <w:rsid w:val="00AB4A85"/>
    <w:rsid w:val="00AB4EDF"/>
    <w:rsid w:val="00AC4FFE"/>
    <w:rsid w:val="00AE1E7F"/>
    <w:rsid w:val="00B25B03"/>
    <w:rsid w:val="00B43C05"/>
    <w:rsid w:val="00B57077"/>
    <w:rsid w:val="00B5770E"/>
    <w:rsid w:val="00B907FD"/>
    <w:rsid w:val="00B97A31"/>
    <w:rsid w:val="00BD0291"/>
    <w:rsid w:val="00BD7488"/>
    <w:rsid w:val="00BD7E4F"/>
    <w:rsid w:val="00C50C3C"/>
    <w:rsid w:val="00C7544B"/>
    <w:rsid w:val="00C8523E"/>
    <w:rsid w:val="00C90F86"/>
    <w:rsid w:val="00C92C58"/>
    <w:rsid w:val="00CF1EF7"/>
    <w:rsid w:val="00CF3616"/>
    <w:rsid w:val="00CF4787"/>
    <w:rsid w:val="00D002FD"/>
    <w:rsid w:val="00D17966"/>
    <w:rsid w:val="00D23173"/>
    <w:rsid w:val="00D34D1D"/>
    <w:rsid w:val="00D56914"/>
    <w:rsid w:val="00D76C6E"/>
    <w:rsid w:val="00DA29E6"/>
    <w:rsid w:val="00DA2E5C"/>
    <w:rsid w:val="00DC24BC"/>
    <w:rsid w:val="00DC3801"/>
    <w:rsid w:val="00DC7DCC"/>
    <w:rsid w:val="00DE1AC6"/>
    <w:rsid w:val="00DE66ED"/>
    <w:rsid w:val="00E15858"/>
    <w:rsid w:val="00E448F8"/>
    <w:rsid w:val="00EA0C03"/>
    <w:rsid w:val="00EA4743"/>
    <w:rsid w:val="00EA5FDB"/>
    <w:rsid w:val="00F03BF5"/>
    <w:rsid w:val="00F35D74"/>
    <w:rsid w:val="00F534FE"/>
    <w:rsid w:val="00F65AB5"/>
    <w:rsid w:val="00F9406C"/>
    <w:rsid w:val="00FC3187"/>
    <w:rsid w:val="00FC7C37"/>
    <w:rsid w:val="00FF10F0"/>
    <w:rsid w:val="06A90F26"/>
    <w:rsid w:val="06F653F1"/>
    <w:rsid w:val="080F2AB2"/>
    <w:rsid w:val="178F62C4"/>
    <w:rsid w:val="348B6EDE"/>
    <w:rsid w:val="37CE4CB7"/>
    <w:rsid w:val="462E4672"/>
    <w:rsid w:val="496D1616"/>
    <w:rsid w:val="5D7633C7"/>
    <w:rsid w:val="60AD28F1"/>
    <w:rsid w:val="672975D7"/>
    <w:rsid w:val="67651E06"/>
    <w:rsid w:val="78865529"/>
    <w:rsid w:val="7AE5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7"/>
      <w:ind w:left="1049" w:right="1281"/>
      <w:jc w:val="center"/>
      <w:outlineLvl w:val="0"/>
    </w:pPr>
    <w:rPr>
      <w:b/>
      <w:bCs/>
      <w:sz w:val="30"/>
      <w:szCs w:val="44"/>
    </w:rPr>
  </w:style>
  <w:style w:type="paragraph" w:styleId="4">
    <w:name w:val="heading 2"/>
    <w:basedOn w:val="1"/>
    <w:next w:val="1"/>
    <w:qFormat/>
    <w:uiPriority w:val="1"/>
    <w:pPr>
      <w:spacing w:line="360" w:lineRule="auto"/>
      <w:ind w:firstLine="200" w:firstLineChars="200"/>
      <w:outlineLvl w:val="1"/>
    </w:pPr>
    <w:rPr>
      <w:b/>
      <w:bCs/>
      <w:sz w:val="24"/>
      <w:szCs w:val="32"/>
    </w:rPr>
  </w:style>
  <w:style w:type="paragraph" w:styleId="5">
    <w:name w:val="heading 3"/>
    <w:basedOn w:val="1"/>
    <w:next w:val="1"/>
    <w:qFormat/>
    <w:uiPriority w:val="1"/>
    <w:pPr>
      <w:spacing w:before="58"/>
      <w:ind w:left="1052" w:right="872"/>
      <w:outlineLvl w:val="2"/>
    </w:pPr>
    <w:rPr>
      <w:b/>
      <w:bCs/>
      <w:sz w:val="24"/>
      <w:szCs w:val="30"/>
    </w:rPr>
  </w:style>
  <w:style w:type="paragraph" w:styleId="6">
    <w:name w:val="heading 4"/>
    <w:basedOn w:val="1"/>
    <w:next w:val="1"/>
    <w:qFormat/>
    <w:uiPriority w:val="1"/>
    <w:pPr>
      <w:ind w:left="1600" w:hanging="420"/>
      <w:outlineLvl w:val="3"/>
    </w:pPr>
    <w:rPr>
      <w:b/>
      <w:bCs/>
      <w:sz w:val="24"/>
      <w:szCs w:val="28"/>
    </w:rPr>
  </w:style>
  <w:style w:type="paragraph" w:styleId="7">
    <w:name w:val="heading 5"/>
    <w:basedOn w:val="1"/>
    <w:next w:val="1"/>
    <w:qFormat/>
    <w:uiPriority w:val="1"/>
    <w:pPr>
      <w:spacing w:line="360" w:lineRule="auto"/>
      <w:ind w:left="1179"/>
      <w:outlineLvl w:val="4"/>
    </w:pPr>
    <w:rPr>
      <w:b/>
      <w:bCs/>
      <w:sz w:val="24"/>
      <w:szCs w:val="24"/>
    </w:rPr>
  </w:style>
  <w:style w:type="paragraph" w:styleId="8">
    <w:name w:val="heading 6"/>
    <w:basedOn w:val="1"/>
    <w:next w:val="1"/>
    <w:unhideWhenUsed/>
    <w:qFormat/>
    <w:uiPriority w:val="0"/>
    <w:pPr>
      <w:keepNext/>
      <w:keepLines/>
      <w:spacing w:line="360" w:lineRule="auto"/>
      <w:ind w:firstLine="200" w:firstLineChars="200"/>
      <w:outlineLvl w:val="5"/>
    </w:pPr>
    <w:rPr>
      <w:rFonts w:ascii="Arial" w:hAnsi="Arial"/>
      <w:b/>
      <w:sz w:val="24"/>
    </w:rPr>
  </w:style>
  <w:style w:type="paragraph" w:styleId="9">
    <w:name w:val="heading 7"/>
    <w:basedOn w:val="1"/>
    <w:next w:val="1"/>
    <w:link w:val="30"/>
    <w:unhideWhenUsed/>
    <w:qFormat/>
    <w:uiPriority w:val="0"/>
    <w:pPr>
      <w:keepNext/>
      <w:keepLines/>
      <w:spacing w:line="360" w:lineRule="auto"/>
      <w:ind w:firstLine="200" w:firstLineChars="200"/>
      <w:outlineLvl w:val="6"/>
    </w:pPr>
    <w:rPr>
      <w:b/>
      <w:bCs/>
      <w:sz w:val="24"/>
      <w:szCs w:val="24"/>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10">
    <w:name w:val="Normal Indent"/>
    <w:basedOn w:val="1"/>
    <w:qFormat/>
    <w:uiPriority w:val="0"/>
    <w:pPr>
      <w:ind w:firstLine="420"/>
    </w:pPr>
    <w:rPr>
      <w:rFonts w:ascii="Times New Roman" w:hAnsi="Times New Roman"/>
      <w:szCs w:val="20"/>
    </w:rPr>
  </w:style>
  <w:style w:type="paragraph" w:styleId="11">
    <w:name w:val="annotation text"/>
    <w:basedOn w:val="1"/>
    <w:qFormat/>
    <w:uiPriority w:val="0"/>
    <w:rPr>
      <w:rFonts w:ascii="Times New Roman" w:hAnsi="Times New Roman"/>
      <w:szCs w:val="24"/>
    </w:rPr>
  </w:style>
  <w:style w:type="paragraph" w:styleId="12">
    <w:name w:val="Body Text"/>
    <w:basedOn w:val="1"/>
    <w:qFormat/>
    <w:uiPriority w:val="1"/>
    <w:rPr>
      <w:sz w:val="24"/>
      <w:szCs w:val="24"/>
    </w:rPr>
  </w:style>
  <w:style w:type="paragraph" w:styleId="13">
    <w:name w:val="Plain Text"/>
    <w:basedOn w:val="1"/>
    <w:qFormat/>
    <w:uiPriority w:val="0"/>
    <w:rPr>
      <w:rFonts w:hAnsi="Courier New"/>
      <w:szCs w:val="21"/>
    </w:rPr>
  </w:style>
  <w:style w:type="paragraph" w:styleId="14">
    <w:name w:val="Balloon Text"/>
    <w:basedOn w:val="1"/>
    <w:link w:val="29"/>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31"/>
      <w:ind w:right="998"/>
      <w:jc w:val="right"/>
    </w:pPr>
    <w:rPr>
      <w:b/>
      <w:bCs/>
      <w:sz w:val="21"/>
      <w:szCs w:val="21"/>
    </w:rPr>
  </w:style>
  <w:style w:type="paragraph" w:styleId="18">
    <w:name w:val="toc 2"/>
    <w:basedOn w:val="1"/>
    <w:next w:val="1"/>
    <w:qFormat/>
    <w:uiPriority w:val="1"/>
    <w:pPr>
      <w:spacing w:before="31"/>
      <w:ind w:right="998"/>
      <w:jc w:val="right"/>
    </w:pPr>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020" w:hanging="420"/>
    </w:pPr>
  </w:style>
  <w:style w:type="paragraph" w:customStyle="1" w:styleId="23">
    <w:name w:val="Table Paragraph"/>
    <w:basedOn w:val="1"/>
    <w:qFormat/>
    <w:uiPriority w:val="1"/>
  </w:style>
  <w:style w:type="paragraph" w:customStyle="1" w:styleId="24">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5">
    <w:name w:val="WPSOffice手动目录 1"/>
    <w:qFormat/>
    <w:uiPriority w:val="0"/>
    <w:rPr>
      <w:rFonts w:asciiTheme="minorHAnsi" w:hAnsiTheme="minorHAnsi" w:eastAsiaTheme="minorHAnsi" w:cstheme="minorBidi"/>
      <w:lang w:val="en-US" w:eastAsia="zh-CN" w:bidi="ar-SA"/>
    </w:rPr>
  </w:style>
  <w:style w:type="paragraph" w:customStyle="1" w:styleId="26">
    <w:name w:val="正文缩进2格"/>
    <w:basedOn w:val="1"/>
    <w:qFormat/>
    <w:uiPriority w:val="0"/>
    <w:pPr>
      <w:spacing w:after="120" w:line="600" w:lineRule="exact"/>
      <w:ind w:firstLine="639" w:firstLineChars="206"/>
    </w:pPr>
    <w:rPr>
      <w:rFonts w:ascii="仿宋_GB2312" w:eastAsia="仿宋_GB2312"/>
      <w:sz w:val="31"/>
      <w:szCs w:val="28"/>
    </w:rPr>
  </w:style>
  <w:style w:type="paragraph" w:customStyle="1" w:styleId="27">
    <w:name w:val="表格文本"/>
    <w:next w:val="1"/>
    <w:qFormat/>
    <w:uiPriority w:val="0"/>
    <w:pPr>
      <w:widowControl w:val="0"/>
      <w:wordWrap w:val="0"/>
      <w:snapToGrid w:val="0"/>
      <w:jc w:val="center"/>
    </w:pPr>
    <w:rPr>
      <w:rFonts w:ascii="Calibri" w:hAnsi="Calibri" w:eastAsia="宋体" w:cs="Times New Roman"/>
      <w:bCs/>
      <w:snapToGrid w:val="0"/>
      <w:sz w:val="24"/>
      <w:szCs w:val="24"/>
      <w:lang w:val="en-US" w:eastAsia="zh-CN" w:bidi="ar-SA"/>
    </w:rPr>
  </w:style>
  <w:style w:type="paragraph" w:customStyle="1" w:styleId="28">
    <w:name w:val="图"/>
    <w:basedOn w:val="1"/>
    <w:qFormat/>
    <w:uiPriority w:val="0"/>
    <w:pPr>
      <w:keepNext/>
      <w:adjustRightInd w:val="0"/>
      <w:spacing w:before="60" w:after="60" w:line="300" w:lineRule="auto"/>
      <w:jc w:val="center"/>
      <w:textAlignment w:val="center"/>
    </w:pPr>
    <w:rPr>
      <w:snapToGrid w:val="0"/>
      <w:spacing w:val="20"/>
      <w:sz w:val="24"/>
    </w:rPr>
  </w:style>
  <w:style w:type="character" w:customStyle="1" w:styleId="29">
    <w:name w:val="批注框文本 字符"/>
    <w:basedOn w:val="20"/>
    <w:link w:val="14"/>
    <w:qFormat/>
    <w:uiPriority w:val="0"/>
    <w:rPr>
      <w:rFonts w:ascii="宋体" w:hAnsi="宋体" w:eastAsia="宋体" w:cs="宋体"/>
      <w:sz w:val="18"/>
      <w:szCs w:val="18"/>
      <w:lang w:val="zh-CN" w:bidi="zh-CN"/>
    </w:rPr>
  </w:style>
  <w:style w:type="character" w:customStyle="1" w:styleId="30">
    <w:name w:val="标题 7 字符"/>
    <w:basedOn w:val="20"/>
    <w:link w:val="9"/>
    <w:uiPriority w:val="0"/>
    <w:rPr>
      <w:rFonts w:ascii="宋体" w:hAnsi="宋体" w:eastAsia="宋体" w:cs="宋体"/>
      <w:b/>
      <w:bCs/>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4"/>
    <customShpInfo spid="_x0000_s2055"/>
    <customShpInfo spid="_x0000_s2169"/>
    <customShpInfo spid="_x0000_s2144"/>
    <customShpInfo spid="_x0000_s2146"/>
    <customShpInfo spid="_x0000_s2074"/>
    <customShpInfo spid="_x0000_s2075"/>
    <customShpInfo spid="_x0000_s2079"/>
    <customShpInfo spid="_x0000_s2082"/>
    <customShpInfo spid="_x0000_s2083"/>
    <customShpInfo spid="_x0000_s2156"/>
    <customShpInfo spid="_x0000_s2157"/>
    <customShpInfo spid="_x0000_s2160"/>
    <customShpInfo spid="_x0000_s2161"/>
    <customShpInfo spid="_x0000_s2164"/>
    <customShpInfo spid="_x0000_s2166"/>
    <customShpInfo spid="_x0000_s2168"/>
    <customShpInfo spid="_x0000_s2126"/>
    <customShpInfo spid="_x0000_s1052"/>
    <customShpInfo spid="_x0000_s1055"/>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9289</Words>
  <Characters>52953</Characters>
  <Lines>441</Lines>
  <Paragraphs>124</Paragraphs>
  <TotalTime>33</TotalTime>
  <ScaleCrop>false</ScaleCrop>
  <LinksUpToDate>false</LinksUpToDate>
  <CharactersWithSpaces>62118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2020-05-08T10:52:00Z</dcterms:created>
  <dc:creator>李伟</dc:creator>
  <cp:lastModifiedBy>张浩</cp:lastModifiedBy>
  <dcterms:modified xsi:type="dcterms:W3CDTF">2020-06-30T08:02:13Z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WPS 文字</vt:lpwstr>
  </property>
  <property fmtid="{D5CDD505-2E9C-101B-9397-08002B2CF9AE}" pid="4" name="LastSaved">
    <vt:filetime>2020-05-08T00:00:00Z</vt:filetime>
  </property>
  <property fmtid="{D5CDD505-2E9C-101B-9397-08002B2CF9AE}" pid="5" name="KSOProductBuildVer">
    <vt:lpwstr>2052-11.1.0.9739</vt:lpwstr>
  </property>
</Properties>
</file>